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pacing w:line="360" w:lineRule="auto"/>
        <w:jc w:val="center"/>
        <w:textAlignment w:val="auto"/>
        <w:outlineLvl w:val="0"/>
        <w:rPr>
          <w:rFonts w:ascii="黑体" w:hAnsi="黑体" w:eastAsia="黑体"/>
          <w:b/>
          <w:sz w:val="32"/>
          <w:szCs w:val="32"/>
        </w:rPr>
      </w:pPr>
      <w:r>
        <w:rPr>
          <w:rFonts w:hint="eastAsia" w:ascii="黑体" w:hAnsi="黑体" w:eastAsia="黑体"/>
          <w:b/>
          <w:sz w:val="32"/>
          <w:szCs w:val="32"/>
        </w:rPr>
        <w:t>潍坊金麒麟防水材料有限公司年产1000万平方米</w:t>
      </w:r>
    </w:p>
    <w:p>
      <w:pPr>
        <w:keepNext w:val="0"/>
        <w:keepLines w:val="0"/>
        <w:pageBreakBefore w:val="0"/>
        <w:kinsoku/>
        <w:wordWrap/>
        <w:overflowPunct/>
        <w:topLinePunct w:val="0"/>
        <w:autoSpaceDE w:val="0"/>
        <w:autoSpaceDN w:val="0"/>
        <w:bidi w:val="0"/>
        <w:adjustRightInd w:val="0"/>
        <w:spacing w:line="360" w:lineRule="auto"/>
        <w:jc w:val="center"/>
        <w:textAlignment w:val="auto"/>
        <w:outlineLvl w:val="0"/>
        <w:rPr>
          <w:rFonts w:ascii="黑体" w:hAnsi="黑体" w:eastAsia="黑体" w:cs="宋体"/>
          <w:b/>
          <w:kern w:val="0"/>
          <w:sz w:val="32"/>
          <w:szCs w:val="32"/>
        </w:rPr>
      </w:pPr>
      <w:r>
        <w:rPr>
          <w:rFonts w:hint="eastAsia" w:ascii="黑体" w:hAnsi="黑体" w:eastAsia="黑体"/>
          <w:b/>
          <w:sz w:val="32"/>
          <w:szCs w:val="32"/>
        </w:rPr>
        <w:t>防水卷材项目</w:t>
      </w:r>
      <w:r>
        <w:rPr>
          <w:rFonts w:hint="eastAsia" w:ascii="黑体" w:hAnsi="黑体" w:eastAsia="黑体"/>
          <w:b/>
          <w:sz w:val="32"/>
          <w:szCs w:val="32"/>
          <w:lang w:val="en-US" w:eastAsia="zh-CN"/>
        </w:rPr>
        <w:t>竣工</w:t>
      </w:r>
      <w:r>
        <w:rPr>
          <w:rFonts w:hint="eastAsia" w:ascii="黑体" w:hAnsi="黑体" w:eastAsia="黑体" w:cs="宋体"/>
          <w:b/>
          <w:kern w:val="0"/>
          <w:sz w:val="32"/>
          <w:szCs w:val="32"/>
        </w:rPr>
        <w:t>环境保护验收意见</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color w:val="FF0000"/>
          <w:sz w:val="28"/>
          <w:szCs w:val="28"/>
        </w:rPr>
      </w:pPr>
      <w:r>
        <w:rPr>
          <w:rFonts w:hint="eastAsia" w:ascii="宋体" w:hAnsi="宋体" w:eastAsia="宋体"/>
          <w:sz w:val="28"/>
          <w:szCs w:val="28"/>
        </w:rPr>
        <w:t>根据《建设项目环境保护管理条例》和《建设项目竣工环境保护验收暂行办法》等要求，2018年8月2日，潍坊金麒麟防水材料有限公司在</w:t>
      </w:r>
      <w:r>
        <w:rPr>
          <w:rFonts w:hint="eastAsia" w:ascii="宋体" w:hAnsi="宋体" w:eastAsia="宋体" w:cs="Times New Roman"/>
          <w:bCs/>
          <w:sz w:val="28"/>
          <w:szCs w:val="28"/>
        </w:rPr>
        <w:t>寿光市</w:t>
      </w:r>
      <w:r>
        <w:rPr>
          <w:rFonts w:hint="eastAsia" w:ascii="宋体" w:hAnsi="宋体" w:eastAsia="宋体"/>
          <w:sz w:val="28"/>
          <w:szCs w:val="28"/>
        </w:rPr>
        <w:t>组织召开了“</w:t>
      </w:r>
      <w:bookmarkStart w:id="0" w:name="_Hlk520868975"/>
      <w:r>
        <w:rPr>
          <w:rFonts w:hint="eastAsia" w:ascii="宋体" w:hAnsi="宋体" w:eastAsia="宋体"/>
          <w:sz w:val="28"/>
          <w:szCs w:val="28"/>
        </w:rPr>
        <w:t>潍坊金麒麟防水材料有限公司年产1000万平方米防水卷材项目</w:t>
      </w:r>
      <w:bookmarkEnd w:id="0"/>
      <w:r>
        <w:rPr>
          <w:rFonts w:hint="eastAsia" w:ascii="宋体" w:hAnsi="宋体" w:eastAsia="宋体"/>
          <w:sz w:val="28"/>
          <w:szCs w:val="28"/>
        </w:rPr>
        <w:t>”竣工环境保护验收会，会议成立了验收工作组。验收工作组由建设单位-潍坊金麒麟防水材料有限公司、项目竣工环保验收监测及报告编制单位-</w:t>
      </w:r>
      <w:bookmarkStart w:id="1" w:name="_Hlk520869205"/>
      <w:r>
        <w:rPr>
          <w:rFonts w:hint="eastAsia" w:ascii="宋体" w:hAnsi="宋体" w:eastAsia="宋体"/>
          <w:color w:val="000000"/>
          <w:sz w:val="28"/>
          <w:szCs w:val="28"/>
        </w:rPr>
        <w:t>山东潍科检测服务有限公司</w:t>
      </w:r>
      <w:bookmarkEnd w:id="1"/>
      <w:r>
        <w:rPr>
          <w:rFonts w:hint="eastAsia" w:ascii="宋体" w:hAnsi="宋体" w:eastAsia="宋体"/>
          <w:sz w:val="28"/>
          <w:szCs w:val="28"/>
        </w:rPr>
        <w:t>的代表及</w:t>
      </w:r>
      <w:r>
        <w:rPr>
          <w:rFonts w:ascii="宋体" w:hAnsi="宋体" w:eastAsia="宋体"/>
          <w:sz w:val="28"/>
          <w:szCs w:val="28"/>
        </w:rPr>
        <w:t>2</w:t>
      </w:r>
      <w:r>
        <w:rPr>
          <w:rFonts w:hint="eastAsia" w:ascii="宋体" w:hAnsi="宋体" w:eastAsia="宋体"/>
          <w:sz w:val="28"/>
          <w:szCs w:val="28"/>
        </w:rPr>
        <w:t>名特邀专家组成（验收组人员名单附后）。</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sz w:val="28"/>
          <w:szCs w:val="28"/>
        </w:rPr>
      </w:pPr>
      <w:r>
        <w:rPr>
          <w:rFonts w:hint="eastAsia" w:ascii="宋体" w:hAnsi="宋体" w:eastAsia="宋体"/>
          <w:sz w:val="28"/>
          <w:szCs w:val="28"/>
        </w:rPr>
        <w:t>验收工作组听取了建设单位对项目工程环境保护执行情况和验收监测报告编制单位对项目验收监测报告的汇报，并对工程及环境保护设施的建设情况进行了现场检查，核实了有关资料，经讨论形成项目竣工环境保护验收意见如下：</w:t>
      </w:r>
    </w:p>
    <w:p>
      <w:pPr>
        <w:keepNext w:val="0"/>
        <w:keepLines w:val="0"/>
        <w:pageBreakBefore w:val="0"/>
        <w:kinsoku/>
        <w:wordWrap/>
        <w:overflowPunct/>
        <w:topLinePunct w:val="0"/>
        <w:bidi w:val="0"/>
        <w:adjustRightInd w:val="0"/>
        <w:snapToGrid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一、工程建设基本情况</w:t>
      </w:r>
    </w:p>
    <w:p>
      <w:pPr>
        <w:keepNext w:val="0"/>
        <w:keepLines w:val="0"/>
        <w:pageBreakBefore w:val="0"/>
        <w:kinsoku/>
        <w:wordWrap/>
        <w:overflowPunct/>
        <w:topLinePunct w:val="0"/>
        <w:bidi w:val="0"/>
        <w:adjustRightInd w:val="0"/>
        <w:snapToGrid w:val="0"/>
        <w:spacing w:line="360" w:lineRule="auto"/>
        <w:ind w:firstLine="275" w:firstLineChars="98"/>
        <w:textAlignment w:val="auto"/>
        <w:rPr>
          <w:rFonts w:ascii="宋体" w:hAnsi="宋体" w:eastAsia="宋体" w:cs="宋体"/>
          <w:b/>
          <w:kern w:val="0"/>
          <w:sz w:val="28"/>
          <w:szCs w:val="28"/>
        </w:rPr>
      </w:pPr>
      <w:r>
        <w:rPr>
          <w:rFonts w:hint="eastAsia" w:ascii="宋体" w:hAnsi="宋体" w:eastAsia="宋体" w:cs="宋体"/>
          <w:b/>
          <w:kern w:val="0"/>
          <w:sz w:val="28"/>
          <w:szCs w:val="28"/>
        </w:rPr>
        <w:t>（一）建设地点、性质、规模、主要建设内容</w:t>
      </w:r>
    </w:p>
    <w:p>
      <w:pPr>
        <w:pStyle w:val="12"/>
        <w:keepNext w:val="0"/>
        <w:keepLines w:val="0"/>
        <w:pageBreakBefore w:val="0"/>
        <w:kinsoku/>
        <w:wordWrap/>
        <w:overflowPunct/>
        <w:topLinePunct w:val="0"/>
        <w:bidi w:val="0"/>
        <w:snapToGrid w:val="0"/>
        <w:spacing w:line="360" w:lineRule="auto"/>
        <w:ind w:firstLine="560" w:firstLineChars="200"/>
        <w:textAlignment w:val="auto"/>
        <w:rPr>
          <w:rFonts w:ascii="宋体" w:hAnsi="宋体"/>
          <w:sz w:val="28"/>
          <w:szCs w:val="28"/>
          <w:lang w:val="zh-CN"/>
        </w:rPr>
      </w:pPr>
      <w:r>
        <w:rPr>
          <w:rFonts w:hint="eastAsia" w:ascii="宋体" w:hAnsi="宋体"/>
          <w:color w:val="000000"/>
          <w:sz w:val="28"/>
          <w:szCs w:val="28"/>
        </w:rPr>
        <w:t>潍坊金麒麟防水材料有限公司年产</w:t>
      </w:r>
      <w:bookmarkStart w:id="2" w:name="_Hlk520866715"/>
      <w:r>
        <w:rPr>
          <w:rFonts w:hint="eastAsia" w:ascii="宋体" w:hAnsi="宋体"/>
          <w:color w:val="000000"/>
          <w:sz w:val="28"/>
          <w:szCs w:val="28"/>
        </w:rPr>
        <w:t>1000万平方米防水卷材</w:t>
      </w:r>
      <w:bookmarkEnd w:id="2"/>
      <w:r>
        <w:rPr>
          <w:rFonts w:hint="eastAsia" w:ascii="宋体" w:hAnsi="宋体"/>
          <w:color w:val="000000"/>
          <w:sz w:val="28"/>
          <w:szCs w:val="28"/>
        </w:rPr>
        <w:t>项目位于寿光市台头镇刘家河头西侧300米。</w:t>
      </w:r>
    </w:p>
    <w:p>
      <w:pPr>
        <w:pStyle w:val="12"/>
        <w:keepNext w:val="0"/>
        <w:keepLines w:val="0"/>
        <w:pageBreakBefore w:val="0"/>
        <w:kinsoku/>
        <w:wordWrap/>
        <w:overflowPunct/>
        <w:topLinePunct w:val="0"/>
        <w:bidi w:val="0"/>
        <w:spacing w:line="360" w:lineRule="auto"/>
        <w:ind w:firstLine="420" w:firstLineChars="150"/>
        <w:textAlignment w:val="auto"/>
        <w:rPr>
          <w:rFonts w:ascii="宋体" w:hAnsi="宋体" w:eastAsia="宋体"/>
          <w:sz w:val="28"/>
          <w:szCs w:val="28"/>
        </w:rPr>
      </w:pPr>
      <w:r>
        <w:rPr>
          <w:rFonts w:hint="eastAsia" w:ascii="宋体" w:hAnsi="宋体" w:eastAsia="宋体"/>
          <w:sz w:val="28"/>
          <w:szCs w:val="28"/>
        </w:rPr>
        <w:t>项目占地面积4</w:t>
      </w:r>
      <w:r>
        <w:rPr>
          <w:rFonts w:hint="eastAsia" w:ascii="宋体" w:hAnsi="宋体" w:eastAsia="宋体"/>
          <w:sz w:val="28"/>
          <w:szCs w:val="28"/>
          <w:lang w:val="en-US" w:eastAsia="zh-CN"/>
        </w:rPr>
        <w:t>6</w:t>
      </w:r>
      <w:r>
        <w:rPr>
          <w:rFonts w:hint="eastAsia" w:ascii="宋体" w:hAnsi="宋体" w:eastAsia="宋体"/>
          <w:sz w:val="28"/>
          <w:szCs w:val="28"/>
        </w:rPr>
        <w:t xml:space="preserve">00平方米，总建筑面积 </w:t>
      </w:r>
      <w:r>
        <w:rPr>
          <w:rFonts w:hint="eastAsia" w:ascii="宋体" w:hAnsi="宋体" w:eastAsia="宋体"/>
          <w:sz w:val="28"/>
          <w:szCs w:val="28"/>
          <w:lang w:val="en-US" w:eastAsia="zh-CN"/>
        </w:rPr>
        <w:t xml:space="preserve">1990 </w:t>
      </w:r>
      <w:r>
        <w:rPr>
          <w:rFonts w:hint="eastAsia" w:ascii="宋体" w:hAnsi="宋体" w:eastAsia="宋体"/>
          <w:sz w:val="28"/>
          <w:szCs w:val="28"/>
        </w:rPr>
        <w:t>平方米，其中生产车间1座、办公室1座、仓库1座；项目购置安装开卷机、胶体磨等</w:t>
      </w:r>
      <w:r>
        <w:rPr>
          <w:rFonts w:hint="eastAsia" w:ascii="宋体" w:hAnsi="宋体" w:eastAsia="宋体"/>
          <w:sz w:val="28"/>
          <w:szCs w:val="28"/>
          <w:lang w:val="en-US" w:eastAsia="zh-CN"/>
        </w:rPr>
        <w:t>主要</w:t>
      </w:r>
      <w:r>
        <w:rPr>
          <w:rFonts w:hint="eastAsia" w:ascii="宋体" w:hAnsi="宋体" w:eastAsia="宋体"/>
          <w:sz w:val="28"/>
          <w:szCs w:val="28"/>
        </w:rPr>
        <w:t>生产设备</w:t>
      </w:r>
      <w:r>
        <w:rPr>
          <w:rFonts w:hint="eastAsia" w:ascii="宋体" w:hAnsi="宋体" w:eastAsia="宋体"/>
          <w:sz w:val="28"/>
          <w:szCs w:val="28"/>
          <w:lang w:val="en-US" w:eastAsia="zh-CN"/>
        </w:rPr>
        <w:t>46</w:t>
      </w:r>
      <w:r>
        <w:rPr>
          <w:rFonts w:hint="eastAsia" w:ascii="宋体" w:hAnsi="宋体" w:eastAsia="宋体"/>
          <w:sz w:val="28"/>
          <w:szCs w:val="28"/>
        </w:rPr>
        <w:t>台(套)，形成1条</w:t>
      </w:r>
      <w:r>
        <w:rPr>
          <w:rFonts w:hint="eastAsia" w:ascii="宋体" w:hAnsi="宋体"/>
          <w:color w:val="000000"/>
          <w:sz w:val="28"/>
          <w:szCs w:val="28"/>
        </w:rPr>
        <w:t>防水卷材</w:t>
      </w:r>
      <w:r>
        <w:rPr>
          <w:rFonts w:hint="eastAsia" w:ascii="宋体" w:hAnsi="宋体" w:eastAsia="宋体"/>
          <w:sz w:val="28"/>
          <w:szCs w:val="28"/>
        </w:rPr>
        <w:t>生产线</w:t>
      </w:r>
      <w:r>
        <w:rPr>
          <w:rFonts w:hint="eastAsia" w:ascii="宋体" w:hAnsi="宋体"/>
          <w:sz w:val="28"/>
          <w:szCs w:val="28"/>
          <w:lang w:eastAsia="zh-CN"/>
        </w:rPr>
        <w:t>，</w:t>
      </w:r>
      <w:r>
        <w:rPr>
          <w:rFonts w:hint="eastAsia" w:ascii="宋体" w:hAnsi="宋体"/>
          <w:sz w:val="28"/>
          <w:szCs w:val="28"/>
          <w:lang w:val="en-US" w:eastAsia="zh-CN"/>
        </w:rPr>
        <w:t>具备</w:t>
      </w:r>
      <w:r>
        <w:rPr>
          <w:rFonts w:hint="eastAsia" w:ascii="宋体" w:hAnsi="宋体"/>
          <w:color w:val="000000"/>
          <w:sz w:val="28"/>
          <w:szCs w:val="28"/>
        </w:rPr>
        <w:t>年产1000万平方米防水卷材</w:t>
      </w:r>
      <w:r>
        <w:rPr>
          <w:rFonts w:hint="eastAsia" w:ascii="宋体" w:hAnsi="宋体"/>
          <w:color w:val="000000"/>
          <w:sz w:val="28"/>
          <w:szCs w:val="28"/>
          <w:lang w:val="en-US" w:eastAsia="zh-CN"/>
        </w:rPr>
        <w:t>生产能力</w:t>
      </w:r>
      <w:r>
        <w:rPr>
          <w:rFonts w:hint="eastAsia" w:ascii="宋体" w:hAnsi="宋体"/>
          <w:color w:val="000000"/>
          <w:sz w:val="28"/>
          <w:szCs w:val="28"/>
        </w:rPr>
        <w:t>。</w:t>
      </w:r>
    </w:p>
    <w:p>
      <w:pPr>
        <w:keepNext w:val="0"/>
        <w:keepLines w:val="0"/>
        <w:pageBreakBefore w:val="0"/>
        <w:numPr>
          <w:ilvl w:val="0"/>
          <w:numId w:val="1"/>
        </w:numPr>
        <w:kinsoku/>
        <w:wordWrap/>
        <w:overflowPunct/>
        <w:topLinePunct w:val="0"/>
        <w:bidi w:val="0"/>
        <w:adjustRightInd w:val="0"/>
        <w:snapToGrid w:val="0"/>
        <w:spacing w:line="360" w:lineRule="auto"/>
        <w:ind w:firstLine="562" w:firstLineChars="200"/>
        <w:textAlignment w:val="auto"/>
        <w:rPr>
          <w:rFonts w:ascii="宋体" w:hAnsi="宋体" w:eastAsia="宋体"/>
          <w:bCs/>
          <w:sz w:val="28"/>
          <w:szCs w:val="28"/>
        </w:rPr>
      </w:pPr>
      <w:r>
        <w:rPr>
          <w:rFonts w:hint="eastAsia" w:ascii="宋体" w:hAnsi="宋体" w:eastAsia="宋体" w:cs="宋体"/>
          <w:b/>
          <w:kern w:val="0"/>
          <w:sz w:val="28"/>
          <w:szCs w:val="28"/>
        </w:rPr>
        <w:t>建设过程及环保审批情况</w:t>
      </w:r>
    </w:p>
    <w:p>
      <w:pPr>
        <w:keepNext w:val="0"/>
        <w:keepLines w:val="0"/>
        <w:pageBreakBefore w:val="0"/>
        <w:numPr>
          <w:ilvl w:val="0"/>
          <w:numId w:val="0"/>
        </w:numPr>
        <w:kinsoku/>
        <w:wordWrap/>
        <w:overflowPunct/>
        <w:topLinePunct w:val="0"/>
        <w:bidi w:val="0"/>
        <w:adjustRightInd w:val="0"/>
        <w:snapToGrid w:val="0"/>
        <w:spacing w:line="360" w:lineRule="auto"/>
        <w:ind w:firstLine="560" w:firstLineChars="200"/>
        <w:textAlignment w:val="auto"/>
        <w:rPr>
          <w:rFonts w:ascii="宋体" w:hAnsi="宋体" w:eastAsia="宋体"/>
          <w:bCs/>
          <w:sz w:val="28"/>
          <w:szCs w:val="28"/>
        </w:rPr>
      </w:pPr>
      <w:r>
        <w:rPr>
          <w:rFonts w:hint="eastAsia" w:ascii="宋体" w:hAnsi="宋体" w:eastAsia="宋体"/>
          <w:color w:val="000000"/>
          <w:sz w:val="28"/>
          <w:szCs w:val="28"/>
        </w:rPr>
        <w:t>2017年11月，</w:t>
      </w:r>
      <w:r>
        <w:rPr>
          <w:rFonts w:hint="eastAsia" w:ascii="宋体" w:hAnsi="宋体" w:eastAsia="宋体"/>
          <w:sz w:val="28"/>
          <w:szCs w:val="28"/>
        </w:rPr>
        <w:t>宁夏华之洁环境技术有限公司编制完成了《潍坊金麒麟防水材料有限公司年产1000万平方米防水卷材项目竣工环境影响报告表》；2017年12月18日，寿光市环境保护局</w:t>
      </w:r>
      <w:r>
        <w:rPr>
          <w:rFonts w:hint="eastAsia" w:ascii="宋体" w:hAnsi="宋体" w:eastAsia="宋体"/>
          <w:bCs/>
          <w:sz w:val="28"/>
          <w:szCs w:val="28"/>
        </w:rPr>
        <w:t>以“</w:t>
      </w:r>
      <w:r>
        <w:rPr>
          <w:rFonts w:ascii="宋体" w:hAnsi="宋体" w:eastAsia="宋体"/>
          <w:sz w:val="28"/>
          <w:szCs w:val="28"/>
        </w:rPr>
        <w:t>寿环审表字[2017]27</w:t>
      </w:r>
      <w:r>
        <w:rPr>
          <w:rFonts w:hint="eastAsia" w:ascii="宋体" w:hAnsi="宋体" w:eastAsia="宋体"/>
          <w:sz w:val="28"/>
          <w:szCs w:val="28"/>
        </w:rPr>
        <w:t>7</w:t>
      </w:r>
      <w:r>
        <w:rPr>
          <w:rFonts w:ascii="宋体" w:hAnsi="宋体" w:eastAsia="宋体"/>
          <w:sz w:val="28"/>
          <w:szCs w:val="28"/>
        </w:rPr>
        <w:t>号</w:t>
      </w:r>
      <w:r>
        <w:rPr>
          <w:rFonts w:hint="eastAsia" w:ascii="宋体" w:hAnsi="宋体" w:eastAsia="宋体"/>
          <w:bCs/>
          <w:sz w:val="28"/>
          <w:szCs w:val="28"/>
        </w:rPr>
        <w:t>”文对项目进行批复</w:t>
      </w:r>
      <w:r>
        <w:rPr>
          <w:rFonts w:ascii="宋体" w:hAnsi="宋体" w:eastAsia="宋体"/>
          <w:bCs/>
          <w:sz w:val="28"/>
          <w:szCs w:val="28"/>
        </w:rPr>
        <w:t>。</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项目未批先建，寿光市环保局已进行行政处罚，处罚文件为</w:t>
      </w:r>
      <w:r>
        <w:rPr>
          <w:rFonts w:hint="eastAsia" w:ascii="宋体" w:hAnsi="宋体" w:eastAsia="宋体"/>
          <w:sz w:val="28"/>
          <w:szCs w:val="28"/>
        </w:rPr>
        <w:t>“</w:t>
      </w:r>
      <w:r>
        <w:rPr>
          <w:rFonts w:hint="eastAsia" w:ascii="宋体" w:hAnsi="宋体" w:eastAsia="宋体"/>
          <w:sz w:val="28"/>
          <w:szCs w:val="28"/>
          <w:lang w:val="en-US" w:eastAsia="zh-CN"/>
        </w:rPr>
        <w:t>寿环罚字（2017）224号</w:t>
      </w:r>
      <w:r>
        <w:rPr>
          <w:rFonts w:hint="default" w:ascii="宋体" w:hAnsi="宋体" w:eastAsia="宋体"/>
          <w:sz w:val="28"/>
          <w:szCs w:val="28"/>
          <w:lang w:val="en-US" w:eastAsia="zh-CN"/>
        </w:rPr>
        <w:t>”</w:t>
      </w:r>
      <w:r>
        <w:rPr>
          <w:rFonts w:hint="eastAsia" w:ascii="宋体" w:hAnsi="宋体" w:eastAsia="宋体"/>
          <w:sz w:val="28"/>
          <w:szCs w:val="28"/>
          <w:lang w:val="en-US" w:eastAsia="zh-CN"/>
        </w:rPr>
        <w:t>。</w:t>
      </w:r>
    </w:p>
    <w:p>
      <w:pPr>
        <w:keepNext w:val="0"/>
        <w:keepLines w:val="0"/>
        <w:pageBreakBefore w:val="0"/>
        <w:widowControl/>
        <w:kinsoku/>
        <w:wordWrap/>
        <w:overflowPunct/>
        <w:topLinePunct w:val="0"/>
        <w:bidi w:val="0"/>
        <w:adjustRightInd w:val="0"/>
        <w:snapToGrid w:val="0"/>
        <w:spacing w:line="360" w:lineRule="auto"/>
        <w:ind w:left="424" w:leftChars="202" w:firstLine="141" w:firstLineChars="50"/>
        <w:textAlignment w:val="auto"/>
        <w:rPr>
          <w:rFonts w:ascii="宋体" w:hAnsi="宋体" w:eastAsia="宋体"/>
          <w:color w:val="000000"/>
          <w:sz w:val="28"/>
          <w:szCs w:val="28"/>
        </w:rPr>
      </w:pPr>
      <w:r>
        <w:rPr>
          <w:rFonts w:hint="eastAsia" w:ascii="宋体" w:hAnsi="宋体" w:eastAsia="宋体" w:cs="宋体"/>
          <w:b/>
          <w:kern w:val="0"/>
          <w:sz w:val="28"/>
          <w:szCs w:val="28"/>
        </w:rPr>
        <w:t>（三）投资情况</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项目总投资1700万元，其中环保资65万元，占总投资3.82%。</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cs="Times New Roman"/>
          <w:color w:val="000000"/>
          <w:sz w:val="28"/>
          <w:szCs w:val="28"/>
        </w:rPr>
      </w:pPr>
      <w:r>
        <w:rPr>
          <w:rFonts w:hint="eastAsia" w:ascii="宋体" w:hAnsi="宋体" w:eastAsia="宋体"/>
          <w:color w:val="000000"/>
          <w:sz w:val="28"/>
          <w:szCs w:val="28"/>
        </w:rPr>
        <w:t>项目</w:t>
      </w:r>
      <w:r>
        <w:rPr>
          <w:rFonts w:hint="eastAsia" w:ascii="宋体" w:hAnsi="宋体" w:eastAsia="宋体" w:cs="Times New Roman"/>
          <w:color w:val="000000"/>
          <w:sz w:val="28"/>
          <w:szCs w:val="28"/>
        </w:rPr>
        <w:t>劳动定员12人，</w:t>
      </w:r>
      <w:r>
        <w:rPr>
          <w:rFonts w:hint="eastAsia" w:ascii="宋体" w:hAnsi="宋体" w:eastAsia="宋体" w:cs="Times New Roman"/>
          <w:color w:val="000000"/>
          <w:sz w:val="28"/>
          <w:szCs w:val="28"/>
          <w:lang w:val="en-US" w:eastAsia="zh-CN"/>
        </w:rPr>
        <w:t>2</w:t>
      </w:r>
      <w:r>
        <w:rPr>
          <w:rFonts w:hint="eastAsia" w:ascii="宋体" w:hAnsi="宋体" w:eastAsia="宋体"/>
          <w:color w:val="000000"/>
          <w:sz w:val="28"/>
          <w:szCs w:val="28"/>
        </w:rPr>
        <w:t>班工作制，每班工作</w:t>
      </w:r>
      <w:r>
        <w:rPr>
          <w:rFonts w:hint="eastAsia" w:ascii="宋体" w:hAnsi="宋体" w:eastAsia="宋体"/>
          <w:color w:val="000000"/>
          <w:sz w:val="28"/>
          <w:szCs w:val="28"/>
          <w:lang w:val="en-US" w:eastAsia="zh-CN"/>
        </w:rPr>
        <w:t>12</w:t>
      </w:r>
      <w:r>
        <w:rPr>
          <w:rFonts w:hint="eastAsia" w:ascii="宋体" w:hAnsi="宋体" w:eastAsia="宋体"/>
          <w:color w:val="000000"/>
          <w:sz w:val="28"/>
          <w:szCs w:val="28"/>
        </w:rPr>
        <w:t>时间小时，年生300天。</w:t>
      </w:r>
    </w:p>
    <w:p>
      <w:pPr>
        <w:keepNext w:val="0"/>
        <w:keepLines w:val="0"/>
        <w:pageBreakBefore w:val="0"/>
        <w:kinsoku/>
        <w:wordWrap/>
        <w:overflowPunct/>
        <w:topLinePunct w:val="0"/>
        <w:bidi w:val="0"/>
        <w:spacing w:line="360" w:lineRule="auto"/>
        <w:ind w:firstLine="562" w:firstLineChars="200"/>
        <w:textAlignment w:val="auto"/>
        <w:rPr>
          <w:rFonts w:ascii="宋体" w:hAnsi="宋体" w:eastAsia="宋体"/>
          <w:color w:val="000000"/>
          <w:sz w:val="28"/>
          <w:szCs w:val="28"/>
        </w:rPr>
      </w:pPr>
      <w:r>
        <w:rPr>
          <w:rFonts w:hint="eastAsia" w:ascii="宋体" w:hAnsi="宋体" w:eastAsia="宋体" w:cs="宋体"/>
          <w:b/>
          <w:color w:val="000000" w:themeColor="text1"/>
          <w:kern w:val="0"/>
          <w:sz w:val="28"/>
          <w:szCs w:val="28"/>
        </w:rPr>
        <w:t>（四）验收范围</w:t>
      </w:r>
    </w:p>
    <w:p>
      <w:pPr>
        <w:pStyle w:val="2"/>
        <w:keepNext w:val="0"/>
        <w:keepLines w:val="0"/>
        <w:pageBreakBefore w:val="0"/>
        <w:kinsoku/>
        <w:wordWrap/>
        <w:overflowPunct/>
        <w:topLinePunct w:val="0"/>
        <w:bidi w:val="0"/>
        <w:spacing w:line="360" w:lineRule="auto"/>
        <w:ind w:firstLine="560" w:firstLineChars="200"/>
        <w:textAlignment w:val="auto"/>
        <w:rPr>
          <w:rFonts w:hAnsi="宋体"/>
          <w:sz w:val="28"/>
          <w:szCs w:val="28"/>
        </w:rPr>
      </w:pPr>
      <w:r>
        <w:rPr>
          <w:rFonts w:hint="eastAsia" w:hAnsi="宋体" w:cs="宋体"/>
          <w:caps/>
          <w:color w:val="000000"/>
          <w:sz w:val="28"/>
          <w:szCs w:val="28"/>
        </w:rPr>
        <w:t>本次环保验收内容按</w:t>
      </w:r>
      <w:r>
        <w:rPr>
          <w:rFonts w:hint="eastAsia" w:hAnsi="宋体"/>
          <w:sz w:val="28"/>
          <w:szCs w:val="28"/>
        </w:rPr>
        <w:t>潍坊金麒麟防水材料有限公司年产1000万平方米防水卷材项目</w:t>
      </w:r>
      <w:r>
        <w:rPr>
          <w:rFonts w:hint="eastAsia" w:hAnsi="宋体" w:cs="宋体"/>
          <w:caps/>
          <w:color w:val="000000"/>
          <w:sz w:val="28"/>
          <w:szCs w:val="28"/>
        </w:rPr>
        <w:t>实际建设内容和规模验收。</w:t>
      </w:r>
    </w:p>
    <w:p>
      <w:pPr>
        <w:keepNext w:val="0"/>
        <w:keepLines w:val="0"/>
        <w:pageBreakBefore w:val="0"/>
        <w:kinsoku/>
        <w:wordWrap/>
        <w:overflowPunct/>
        <w:topLinePunct w:val="0"/>
        <w:autoSpaceDE w:val="0"/>
        <w:autoSpaceDN w:val="0"/>
        <w:bidi w:val="0"/>
        <w:adjustRightInd w:val="0"/>
        <w:spacing w:line="360" w:lineRule="auto"/>
        <w:ind w:firstLine="562" w:firstLineChars="200"/>
        <w:jc w:val="left"/>
        <w:textAlignment w:val="auto"/>
        <w:rPr>
          <w:rFonts w:ascii="宋体" w:hAnsi="宋体" w:eastAsia="宋体" w:cs="宋体"/>
          <w:b/>
          <w:kern w:val="0"/>
          <w:sz w:val="28"/>
          <w:szCs w:val="28"/>
        </w:rPr>
      </w:pPr>
      <w:r>
        <w:rPr>
          <w:rFonts w:hint="eastAsia" w:ascii="宋体" w:hAnsi="宋体" w:eastAsia="宋体" w:cs="宋体"/>
          <w:b/>
          <w:kern w:val="0"/>
          <w:sz w:val="28"/>
          <w:szCs w:val="28"/>
        </w:rPr>
        <w:t>二、工程变动情况</w:t>
      </w:r>
    </w:p>
    <w:p>
      <w:pPr>
        <w:pStyle w:val="6"/>
        <w:keepNext w:val="0"/>
        <w:keepLines w:val="0"/>
        <w:pageBreakBefore w:val="0"/>
        <w:kinsoku/>
        <w:wordWrap/>
        <w:overflowPunct/>
        <w:topLinePunct w:val="0"/>
        <w:bidi w:val="0"/>
        <w:adjustRightInd w:val="0"/>
        <w:snapToGrid w:val="0"/>
        <w:spacing w:after="0" w:line="360" w:lineRule="auto"/>
        <w:ind w:firstLine="140" w:firstLineChars="50"/>
        <w:textAlignment w:val="auto"/>
        <w:rPr>
          <w:rFonts w:ascii="宋体" w:hAnsi="宋体" w:eastAsia="宋体" w:cs="宋体"/>
          <w:caps/>
          <w:color w:val="000000"/>
          <w:sz w:val="28"/>
          <w:szCs w:val="28"/>
        </w:rPr>
      </w:pPr>
      <w:r>
        <w:rPr>
          <w:rFonts w:hint="eastAsia" w:ascii="宋体" w:hAnsi="宋体" w:eastAsia="宋体" w:cs="宋体"/>
          <w:caps/>
          <w:color w:val="000000"/>
          <w:sz w:val="28"/>
          <w:szCs w:val="28"/>
        </w:rPr>
        <w:t>经现场调查和与建设单位核实，项目建设内容与环评及环评</w:t>
      </w:r>
    </w:p>
    <w:p>
      <w:pPr>
        <w:pStyle w:val="6"/>
        <w:keepNext w:val="0"/>
        <w:keepLines w:val="0"/>
        <w:pageBreakBefore w:val="0"/>
        <w:kinsoku/>
        <w:wordWrap/>
        <w:overflowPunct/>
        <w:topLinePunct w:val="0"/>
        <w:bidi w:val="0"/>
        <w:adjustRightInd w:val="0"/>
        <w:snapToGrid w:val="0"/>
        <w:spacing w:after="0" w:line="360" w:lineRule="auto"/>
        <w:ind w:left="0" w:leftChars="0"/>
        <w:textAlignment w:val="auto"/>
        <w:rPr>
          <w:rFonts w:ascii="宋体" w:hAnsi="宋体" w:eastAsia="宋体"/>
          <w:color w:val="000000" w:themeColor="text1"/>
          <w:sz w:val="28"/>
          <w:szCs w:val="28"/>
        </w:rPr>
      </w:pPr>
      <w:r>
        <w:rPr>
          <w:rFonts w:hint="eastAsia" w:ascii="宋体" w:hAnsi="宋体" w:eastAsia="宋体" w:cs="宋体"/>
          <w:caps/>
          <w:color w:val="000000"/>
          <w:sz w:val="28"/>
          <w:szCs w:val="28"/>
        </w:rPr>
        <w:t>批复一致。</w:t>
      </w:r>
    </w:p>
    <w:p>
      <w:pPr>
        <w:keepNext w:val="0"/>
        <w:keepLines w:val="0"/>
        <w:pageBreakBefore w:val="0"/>
        <w:kinsoku/>
        <w:wordWrap/>
        <w:overflowPunct/>
        <w:topLinePunct w:val="0"/>
        <w:bidi w:val="0"/>
        <w:spacing w:line="360" w:lineRule="auto"/>
        <w:ind w:firstLine="551" w:firstLineChars="196"/>
        <w:textAlignment w:val="auto"/>
        <w:rPr>
          <w:rFonts w:ascii="宋体" w:hAnsi="宋体" w:eastAsia="宋体" w:cs="宋体"/>
          <w:b/>
          <w:color w:val="000000"/>
          <w:sz w:val="28"/>
          <w:szCs w:val="28"/>
        </w:rPr>
      </w:pPr>
      <w:r>
        <w:rPr>
          <w:rFonts w:hint="eastAsia" w:ascii="宋体" w:hAnsi="宋体" w:eastAsia="宋体" w:cs="宋体"/>
          <w:b/>
          <w:color w:val="000000"/>
          <w:sz w:val="28"/>
          <w:szCs w:val="28"/>
        </w:rPr>
        <w:t>三、环境保护设施建设情况</w:t>
      </w:r>
    </w:p>
    <w:p>
      <w:pPr>
        <w:keepNext w:val="0"/>
        <w:keepLines w:val="0"/>
        <w:pageBreakBefore w:val="0"/>
        <w:kinsoku/>
        <w:wordWrap/>
        <w:overflowPunct/>
        <w:topLinePunct w:val="0"/>
        <w:bidi w:val="0"/>
        <w:adjustRightInd w:val="0"/>
        <w:snapToGrid w:val="0"/>
        <w:spacing w:line="360" w:lineRule="auto"/>
        <w:ind w:firstLine="422" w:firstLineChars="150"/>
        <w:textAlignment w:val="auto"/>
        <w:rPr>
          <w:rFonts w:ascii="宋体" w:hAnsi="宋体" w:eastAsia="宋体" w:cs="宋体"/>
          <w:b/>
          <w:kern w:val="0"/>
          <w:sz w:val="28"/>
          <w:szCs w:val="28"/>
        </w:rPr>
      </w:pPr>
      <w:r>
        <w:rPr>
          <w:rFonts w:hint="eastAsia" w:ascii="宋体" w:hAnsi="宋体" w:eastAsia="宋体" w:cs="宋体"/>
          <w:b/>
          <w:kern w:val="0"/>
          <w:sz w:val="28"/>
          <w:szCs w:val="28"/>
        </w:rPr>
        <w:t>（一）废水</w:t>
      </w:r>
    </w:p>
    <w:p>
      <w:pPr>
        <w:keepNext w:val="0"/>
        <w:keepLines w:val="0"/>
        <w:pageBreakBefore w:val="0"/>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s="Times New Roman"/>
          <w:color w:val="auto"/>
          <w:sz w:val="28"/>
          <w:szCs w:val="28"/>
        </w:rPr>
        <w:t>项目冷却水和沥青烟净化系统</w:t>
      </w:r>
      <w:r>
        <w:rPr>
          <w:rFonts w:hint="eastAsia" w:ascii="宋体" w:hAnsi="宋体" w:eastAsia="宋体" w:cs="Times New Roman"/>
          <w:color w:val="auto"/>
          <w:sz w:val="28"/>
          <w:szCs w:val="28"/>
          <w:lang w:val="en-US" w:eastAsia="zh-CN"/>
        </w:rPr>
        <w:t>用</w:t>
      </w:r>
      <w:r>
        <w:rPr>
          <w:rFonts w:hint="eastAsia" w:ascii="宋体" w:hAnsi="宋体" w:eastAsia="宋体" w:cs="Times New Roman"/>
          <w:color w:val="auto"/>
          <w:sz w:val="28"/>
          <w:szCs w:val="28"/>
        </w:rPr>
        <w:t>水循环使用，</w:t>
      </w:r>
      <w:r>
        <w:rPr>
          <w:rFonts w:hint="eastAsia" w:ascii="宋体" w:hAnsi="宋体" w:eastAsia="宋体" w:cs="Times New Roman"/>
          <w:color w:val="auto"/>
          <w:sz w:val="28"/>
          <w:szCs w:val="28"/>
          <w:lang w:val="en-US" w:eastAsia="zh-CN"/>
        </w:rPr>
        <w:t>定期</w:t>
      </w:r>
      <w:r>
        <w:rPr>
          <w:rFonts w:hint="eastAsia" w:ascii="宋体" w:hAnsi="宋体" w:eastAsia="宋体" w:cs="Times New Roman"/>
          <w:color w:val="auto"/>
          <w:sz w:val="28"/>
          <w:szCs w:val="28"/>
        </w:rPr>
        <w:t>补充</w:t>
      </w:r>
      <w:r>
        <w:rPr>
          <w:rFonts w:hint="eastAsia" w:ascii="宋体" w:hAnsi="宋体" w:eastAsia="宋体" w:cs="Times New Roman"/>
          <w:color w:val="auto"/>
          <w:sz w:val="28"/>
          <w:szCs w:val="28"/>
          <w:lang w:eastAsia="zh-CN"/>
        </w:rPr>
        <w:t>，</w:t>
      </w:r>
      <w:r>
        <w:rPr>
          <w:rFonts w:hint="eastAsia" w:ascii="宋体" w:hAnsi="宋体" w:eastAsia="宋体" w:cs="Times New Roman"/>
          <w:color w:val="auto"/>
          <w:sz w:val="28"/>
          <w:szCs w:val="28"/>
        </w:rPr>
        <w:t>不外排</w:t>
      </w:r>
      <w:r>
        <w:rPr>
          <w:rFonts w:hint="eastAsia" w:ascii="宋体" w:hAnsi="宋体" w:eastAsia="宋体" w:cs="Times New Roman"/>
          <w:sz w:val="28"/>
          <w:szCs w:val="28"/>
        </w:rPr>
        <w:t>；生活污水经化粪池稳定化、无害化处理后经罐车运往台头镇</w:t>
      </w:r>
      <w:r>
        <w:rPr>
          <w:rFonts w:hint="eastAsia" w:ascii="宋体" w:hAnsi="宋体" w:eastAsia="宋体" w:cs="Times New Roman"/>
          <w:color w:val="FF0000"/>
          <w:sz w:val="28"/>
          <w:szCs w:val="28"/>
        </w:rPr>
        <w:t>污水处理</w:t>
      </w:r>
      <w:r>
        <w:rPr>
          <w:rFonts w:hint="eastAsia" w:ascii="宋体" w:hAnsi="宋体" w:eastAsia="宋体" w:cs="Times New Roman"/>
          <w:sz w:val="28"/>
          <w:szCs w:val="28"/>
        </w:rPr>
        <w:t>厂进行深度处理。</w:t>
      </w:r>
    </w:p>
    <w:p>
      <w:pPr>
        <w:keepNext w:val="0"/>
        <w:keepLines w:val="0"/>
        <w:pageBreakBefore w:val="0"/>
        <w:kinsoku/>
        <w:wordWrap/>
        <w:overflowPunct/>
        <w:topLinePunct w:val="0"/>
        <w:bidi w:val="0"/>
        <w:adjustRightInd w:val="0"/>
        <w:snapToGrid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（二）废气</w:t>
      </w:r>
    </w:p>
    <w:p>
      <w:pPr>
        <w:keepNext w:val="0"/>
        <w:keepLines w:val="0"/>
        <w:pageBreakBefore w:val="0"/>
        <w:kinsoku/>
        <w:wordWrap/>
        <w:overflowPunct/>
        <w:topLinePunct w:val="0"/>
        <w:bidi w:val="0"/>
        <w:spacing w:line="360" w:lineRule="auto"/>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项目生产供热采用环保导热油炉，燃料</w:t>
      </w:r>
      <w:r>
        <w:rPr>
          <w:rFonts w:hint="eastAsia" w:ascii="宋体" w:hAnsi="宋体" w:eastAsia="宋体" w:cs="宋体"/>
          <w:kern w:val="0"/>
          <w:sz w:val="28"/>
          <w:szCs w:val="28"/>
          <w:lang w:val="en-US" w:eastAsia="zh-CN"/>
        </w:rPr>
        <w:t>为</w:t>
      </w:r>
      <w:r>
        <w:rPr>
          <w:rFonts w:hint="eastAsia" w:ascii="宋体" w:hAnsi="宋体" w:eastAsia="宋体" w:cs="宋体"/>
          <w:kern w:val="0"/>
          <w:sz w:val="28"/>
          <w:szCs w:val="28"/>
        </w:rPr>
        <w:t>天然气</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导热油炉安装了低氮燃烧器，减少了氮氧化物</w:t>
      </w:r>
      <w:r>
        <w:rPr>
          <w:rFonts w:hint="eastAsia" w:ascii="宋体" w:hAnsi="宋体" w:eastAsia="宋体" w:cs="宋体"/>
          <w:kern w:val="0"/>
          <w:sz w:val="28"/>
          <w:szCs w:val="28"/>
          <w:lang w:val="en-US" w:eastAsia="zh-CN"/>
        </w:rPr>
        <w:t>的产生与</w:t>
      </w:r>
      <w:r>
        <w:rPr>
          <w:rFonts w:hint="eastAsia" w:ascii="宋体" w:hAnsi="宋体" w:eastAsia="宋体" w:cs="宋体"/>
          <w:kern w:val="0"/>
          <w:sz w:val="28"/>
          <w:szCs w:val="28"/>
        </w:rPr>
        <w:t>排放，废气通过</w:t>
      </w:r>
      <w:r>
        <w:rPr>
          <w:rFonts w:hint="eastAsia" w:ascii="宋体" w:hAnsi="宋体" w:eastAsia="宋体" w:cs="宋体"/>
          <w:kern w:val="0"/>
          <w:sz w:val="28"/>
          <w:szCs w:val="28"/>
          <w:lang w:val="en-US" w:eastAsia="zh-CN"/>
        </w:rPr>
        <w:t>15米</w:t>
      </w:r>
      <w:r>
        <w:rPr>
          <w:rFonts w:hint="eastAsia" w:ascii="宋体" w:hAnsi="宋体" w:eastAsia="宋体" w:cs="宋体"/>
          <w:kern w:val="0"/>
          <w:sz w:val="28"/>
          <w:szCs w:val="28"/>
        </w:rPr>
        <w:t>排气筒P1排放。</w:t>
      </w:r>
    </w:p>
    <w:p>
      <w:pPr>
        <w:keepNext w:val="0"/>
        <w:keepLines w:val="0"/>
        <w:pageBreakBefore w:val="0"/>
        <w:kinsoku/>
        <w:wordWrap/>
        <w:overflowPunct/>
        <w:topLinePunct w:val="0"/>
        <w:bidi w:val="0"/>
        <w:spacing w:line="360" w:lineRule="auto"/>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项目沥青防水材料生产过程中产生的废气，主要成分为沥青烟、非甲烷总烃和苯并</w:t>
      </w:r>
      <w:r>
        <w:rPr>
          <w:rFonts w:ascii="宋体" w:hAnsi="宋体" w:eastAsia="宋体" w:cs="宋体"/>
          <w:kern w:val="0"/>
          <w:sz w:val="28"/>
          <w:szCs w:val="28"/>
        </w:rPr>
        <w:t>[</w:t>
      </w:r>
      <w:r>
        <w:rPr>
          <w:rFonts w:hint="eastAsia" w:ascii="宋体" w:hAnsi="宋体" w:eastAsia="宋体" w:cs="宋体"/>
          <w:kern w:val="0"/>
          <w:sz w:val="28"/>
          <w:szCs w:val="28"/>
          <w:lang w:val="en-US" w:eastAsia="zh-CN"/>
        </w:rPr>
        <w:t>a</w:t>
      </w:r>
      <w:r>
        <w:rPr>
          <w:rFonts w:ascii="宋体" w:hAnsi="宋体" w:eastAsia="宋体" w:cs="宋体"/>
          <w:kern w:val="0"/>
          <w:sz w:val="28"/>
          <w:szCs w:val="28"/>
        </w:rPr>
        <w:t>]</w:t>
      </w:r>
      <w:r>
        <w:rPr>
          <w:rFonts w:hint="eastAsia" w:ascii="宋体" w:hAnsi="宋体" w:eastAsia="宋体" w:cs="宋体"/>
          <w:kern w:val="0"/>
          <w:sz w:val="28"/>
          <w:szCs w:val="28"/>
        </w:rPr>
        <w:t>芘。沥青烟废气经集气罩收进入三级水喷淋塔</w:t>
      </w:r>
      <w:r>
        <w:rPr>
          <w:rFonts w:ascii="宋体" w:hAnsi="宋体" w:eastAsia="宋体" w:cs="宋体"/>
          <w:kern w:val="0"/>
          <w:sz w:val="28"/>
          <w:szCs w:val="28"/>
        </w:rPr>
        <w:t>+</w:t>
      </w:r>
      <w:r>
        <w:rPr>
          <w:rFonts w:hint="eastAsia" w:ascii="宋体" w:hAnsi="宋体" w:eastAsia="宋体" w:cs="宋体"/>
          <w:kern w:val="0"/>
          <w:sz w:val="28"/>
          <w:szCs w:val="28"/>
        </w:rPr>
        <w:t>静电捕获系统</w:t>
      </w:r>
      <w:r>
        <w:rPr>
          <w:rFonts w:ascii="宋体" w:hAnsi="宋体" w:eastAsia="宋体" w:cs="宋体"/>
          <w:kern w:val="0"/>
          <w:sz w:val="28"/>
          <w:szCs w:val="28"/>
        </w:rPr>
        <w:t>+UV</w:t>
      </w:r>
      <w:r>
        <w:rPr>
          <w:rFonts w:hint="eastAsia" w:ascii="宋体" w:hAnsi="宋体" w:eastAsia="宋体" w:cs="宋体"/>
          <w:kern w:val="0"/>
          <w:sz w:val="28"/>
          <w:szCs w:val="28"/>
        </w:rPr>
        <w:t>光解催化处理后，通过</w:t>
      </w:r>
      <w:r>
        <w:rPr>
          <w:rFonts w:ascii="宋体" w:hAnsi="宋体" w:eastAsia="宋体" w:cs="宋体"/>
          <w:kern w:val="0"/>
          <w:sz w:val="28"/>
          <w:szCs w:val="28"/>
        </w:rPr>
        <w:t>30m</w:t>
      </w:r>
      <w:r>
        <w:rPr>
          <w:rFonts w:hint="eastAsia" w:ascii="宋体" w:hAnsi="宋体" w:eastAsia="宋体" w:cs="宋体"/>
          <w:kern w:val="0"/>
          <w:sz w:val="28"/>
          <w:szCs w:val="28"/>
        </w:rPr>
        <w:t>高排气筒</w:t>
      </w:r>
      <w:r>
        <w:rPr>
          <w:rFonts w:ascii="宋体" w:hAnsi="宋体" w:eastAsia="宋体" w:cs="宋体"/>
          <w:kern w:val="0"/>
          <w:sz w:val="28"/>
          <w:szCs w:val="28"/>
        </w:rPr>
        <w:t>P2</w:t>
      </w:r>
      <w:r>
        <w:rPr>
          <w:rFonts w:hint="eastAsia" w:ascii="宋体" w:hAnsi="宋体" w:eastAsia="宋体" w:cs="宋体"/>
          <w:kern w:val="0"/>
          <w:sz w:val="28"/>
          <w:szCs w:val="28"/>
        </w:rPr>
        <w:t>排放。</w:t>
      </w:r>
    </w:p>
    <w:p>
      <w:pPr>
        <w:keepNext w:val="0"/>
        <w:keepLines w:val="0"/>
        <w:pageBreakBefore w:val="0"/>
        <w:kinsoku/>
        <w:wordWrap/>
        <w:overflowPunct/>
        <w:topLinePunct w:val="0"/>
        <w:bidi w:val="0"/>
        <w:spacing w:line="360" w:lineRule="auto"/>
        <w:ind w:firstLine="560" w:firstLineChars="200"/>
        <w:jc w:val="left"/>
        <w:textAlignment w:val="auto"/>
        <w:rPr>
          <w:rFonts w:ascii="宋体" w:hAnsi="宋体" w:eastAsia="宋体" w:cs="宋体"/>
          <w:kern w:val="0"/>
          <w:sz w:val="28"/>
          <w:szCs w:val="28"/>
        </w:rPr>
      </w:pPr>
      <w:r>
        <w:rPr>
          <w:rFonts w:hint="eastAsia" w:ascii="宋体" w:hAnsi="宋体" w:eastAsia="宋体" w:cs="宋体"/>
          <w:kern w:val="0"/>
          <w:sz w:val="28"/>
          <w:szCs w:val="28"/>
        </w:rPr>
        <w:t>未完全收集的废气无组织排放。</w:t>
      </w:r>
    </w:p>
    <w:p>
      <w:pPr>
        <w:keepNext w:val="0"/>
        <w:keepLines w:val="0"/>
        <w:pageBreakBefore w:val="0"/>
        <w:kinsoku/>
        <w:wordWrap/>
        <w:overflowPunct/>
        <w:topLinePunct w:val="0"/>
        <w:bidi w:val="0"/>
        <w:spacing w:line="360" w:lineRule="auto"/>
        <w:ind w:firstLine="562" w:firstLineChars="200"/>
        <w:jc w:val="left"/>
        <w:textAlignment w:val="auto"/>
        <w:rPr>
          <w:rFonts w:ascii="宋体" w:hAnsi="宋体" w:eastAsia="宋体" w:cs="宋体"/>
          <w:b/>
          <w:kern w:val="0"/>
          <w:sz w:val="28"/>
          <w:szCs w:val="28"/>
        </w:rPr>
      </w:pPr>
      <w:r>
        <w:rPr>
          <w:rFonts w:hint="eastAsia" w:ascii="宋体" w:hAnsi="宋体" w:eastAsia="宋体" w:cs="宋体"/>
          <w:b/>
          <w:kern w:val="0"/>
          <w:sz w:val="28"/>
          <w:szCs w:val="28"/>
        </w:rPr>
        <w:t>（三）噪声</w:t>
      </w:r>
    </w:p>
    <w:p>
      <w:pPr>
        <w:pStyle w:val="20"/>
        <w:keepNext w:val="0"/>
        <w:keepLines w:val="0"/>
        <w:pageBreakBefore w:val="0"/>
        <w:kinsoku/>
        <w:wordWrap/>
        <w:overflowPunct/>
        <w:topLinePunct w:val="0"/>
        <w:bidi w:val="0"/>
        <w:spacing w:line="360" w:lineRule="auto"/>
        <w:ind w:firstLine="560"/>
        <w:textAlignment w:val="auto"/>
        <w:rPr>
          <w:rFonts w:ascii="宋体" w:hAnsi="宋体" w:eastAsia="宋体" w:cs="Times New Roman"/>
          <w:sz w:val="28"/>
          <w:szCs w:val="28"/>
        </w:rPr>
      </w:pPr>
      <w:r>
        <w:rPr>
          <w:rFonts w:ascii="宋体" w:hAnsi="宋体" w:eastAsia="宋体" w:cs="Times New Roman"/>
          <w:sz w:val="28"/>
          <w:szCs w:val="28"/>
        </w:rPr>
        <w:t>项目噪声主要</w:t>
      </w:r>
      <w:r>
        <w:rPr>
          <w:rFonts w:hint="eastAsia" w:ascii="宋体" w:hAnsi="宋体" w:eastAsia="宋体" w:cs="Times New Roman"/>
          <w:sz w:val="28"/>
          <w:szCs w:val="28"/>
        </w:rPr>
        <w:t>是</w:t>
      </w:r>
      <w:r>
        <w:rPr>
          <w:rFonts w:hint="eastAsia" w:ascii="宋体" w:hAnsi="宋体" w:eastAsia="宋体"/>
          <w:sz w:val="28"/>
          <w:szCs w:val="28"/>
        </w:rPr>
        <w:t>锅炉风机、高速混合搅拌机、卷取机、牵引机等</w:t>
      </w:r>
      <w:r>
        <w:rPr>
          <w:rFonts w:hint="eastAsia" w:ascii="宋体" w:hAnsi="宋体" w:eastAsia="宋体" w:cs="Times New Roman"/>
          <w:sz w:val="28"/>
          <w:szCs w:val="28"/>
        </w:rPr>
        <w:t>工作时产生，通过采取设备合理布局、基础减震、墙体及门窗隔声等措施降低噪音对环境的影响。</w:t>
      </w:r>
    </w:p>
    <w:p>
      <w:pPr>
        <w:pStyle w:val="20"/>
        <w:keepNext w:val="0"/>
        <w:keepLines w:val="0"/>
        <w:pageBreakBefore w:val="0"/>
        <w:kinsoku/>
        <w:wordWrap/>
        <w:overflowPunct/>
        <w:topLinePunct w:val="0"/>
        <w:bidi w:val="0"/>
        <w:spacing w:line="360" w:lineRule="auto"/>
        <w:ind w:firstLine="562"/>
        <w:textAlignment w:val="auto"/>
        <w:rPr>
          <w:rFonts w:ascii="宋体" w:hAnsi="宋体" w:eastAsia="宋体" w:cs="宋体"/>
          <w:b/>
          <w:kern w:val="0"/>
          <w:sz w:val="28"/>
          <w:szCs w:val="28"/>
        </w:rPr>
      </w:pPr>
      <w:r>
        <w:rPr>
          <w:rFonts w:hint="eastAsia" w:ascii="宋体" w:hAnsi="宋体" w:eastAsia="宋体" w:cs="宋体"/>
          <w:b/>
          <w:kern w:val="0"/>
          <w:sz w:val="28"/>
          <w:szCs w:val="28"/>
        </w:rPr>
        <w:t>（四）固体废物</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cs="Times New Roman"/>
          <w:sz w:val="28"/>
          <w:szCs w:val="28"/>
          <w:lang w:val="zh-CN"/>
        </w:rPr>
      </w:pPr>
      <w:r>
        <w:rPr>
          <w:rFonts w:hint="eastAsia" w:ascii="宋体" w:hAnsi="宋体" w:eastAsia="宋体" w:cs="Times New Roman"/>
          <w:sz w:val="28"/>
          <w:szCs w:val="28"/>
          <w:lang w:val="zh-CN"/>
        </w:rPr>
        <w:t>项目固体废物主要有：生产过程中计量卷曲裁边产生的边角料、原辅料包装的包装废料、沥青烟净化系统收集的</w:t>
      </w:r>
      <w:bookmarkStart w:id="3" w:name="_Hlk520868550"/>
      <w:r>
        <w:rPr>
          <w:rFonts w:hint="eastAsia" w:ascii="宋体" w:hAnsi="宋体" w:eastAsia="宋体" w:cs="Times New Roman"/>
          <w:sz w:val="28"/>
          <w:szCs w:val="28"/>
          <w:lang w:val="zh-CN"/>
        </w:rPr>
        <w:t>沥青渣</w:t>
      </w:r>
      <w:bookmarkEnd w:id="3"/>
      <w:r>
        <w:rPr>
          <w:rFonts w:hint="eastAsia" w:ascii="宋体" w:hAnsi="宋体" w:eastAsia="宋体" w:cs="Times New Roman"/>
          <w:sz w:val="28"/>
          <w:szCs w:val="28"/>
          <w:lang w:val="zh-CN"/>
        </w:rPr>
        <w:t>和沥青储罐定期清理的</w:t>
      </w:r>
      <w:bookmarkStart w:id="4" w:name="_Hlk520868567"/>
      <w:r>
        <w:rPr>
          <w:rFonts w:hint="eastAsia" w:ascii="宋体" w:hAnsi="宋体" w:eastAsia="宋体" w:cs="Times New Roman"/>
          <w:sz w:val="28"/>
          <w:szCs w:val="28"/>
          <w:lang w:val="zh-CN"/>
        </w:rPr>
        <w:t>废沥青渣</w:t>
      </w:r>
      <w:bookmarkEnd w:id="4"/>
      <w:r>
        <w:rPr>
          <w:rFonts w:hint="eastAsia" w:ascii="宋体" w:hAnsi="宋体" w:eastAsia="宋体" w:cs="Times New Roman"/>
          <w:sz w:val="28"/>
          <w:szCs w:val="28"/>
          <w:lang w:val="zh-CN"/>
        </w:rPr>
        <w:t>、</w:t>
      </w:r>
      <w:bookmarkStart w:id="5" w:name="_Hlk520868647"/>
      <w:r>
        <w:rPr>
          <w:rFonts w:hint="eastAsia" w:ascii="宋体" w:hAnsi="宋体" w:eastAsia="宋体" w:cs="Times New Roman"/>
          <w:sz w:val="28"/>
          <w:szCs w:val="28"/>
          <w:lang w:val="zh-CN"/>
        </w:rPr>
        <w:t>废导热油和导热油桶</w:t>
      </w:r>
      <w:bookmarkEnd w:id="5"/>
      <w:r>
        <w:rPr>
          <w:rFonts w:hint="eastAsia" w:ascii="宋体" w:hAnsi="宋体" w:eastAsia="宋体" w:cs="Times New Roman"/>
          <w:sz w:val="28"/>
          <w:szCs w:val="28"/>
          <w:lang w:val="zh-CN"/>
        </w:rPr>
        <w:t>及生活垃圾。边角料、包装废料经收集后全部外售综合利用；沥青渣和废沥青渣收集后作为原料全部回用于生产；生活垃圾由环卫部门定期清运。废导热油和导热油桶为危险废物，废导热油</w:t>
      </w:r>
      <w:bookmarkStart w:id="6" w:name="_Hlk520868820"/>
      <w:r>
        <w:rPr>
          <w:rFonts w:hint="eastAsia" w:ascii="宋体" w:hAnsi="宋体" w:eastAsia="宋体" w:cs="Times New Roman"/>
          <w:sz w:val="28"/>
          <w:szCs w:val="28"/>
          <w:lang w:val="zh-CN"/>
        </w:rPr>
        <w:t>类别为HW08，编号为900-249-08，</w:t>
      </w:r>
      <w:bookmarkEnd w:id="6"/>
      <w:r>
        <w:rPr>
          <w:rFonts w:hint="eastAsia" w:ascii="宋体" w:hAnsi="宋体" w:eastAsia="宋体" w:cs="Times New Roman"/>
          <w:sz w:val="28"/>
          <w:szCs w:val="28"/>
          <w:lang w:val="zh-CN"/>
        </w:rPr>
        <w:t>导热油6年更换一次，产生后存放在危废暂存库，作为软化油回用于本厂生产，不外排；废导热油空桶在危废库暂存后，由山东沾化莱斯特石油化工有限公司回收使用。</w:t>
      </w:r>
    </w:p>
    <w:p>
      <w:pPr>
        <w:keepNext w:val="0"/>
        <w:keepLines w:val="0"/>
        <w:pageBreakBefore w:val="0"/>
        <w:kinsoku/>
        <w:wordWrap/>
        <w:overflowPunct/>
        <w:topLinePunct w:val="0"/>
        <w:bidi w:val="0"/>
        <w:spacing w:line="360" w:lineRule="auto"/>
        <w:ind w:firstLine="562" w:firstLineChars="200"/>
        <w:textAlignment w:val="auto"/>
        <w:rPr>
          <w:rFonts w:ascii="宋体" w:hAnsi="宋体" w:eastAsia="宋体"/>
          <w:sz w:val="28"/>
          <w:szCs w:val="28"/>
        </w:rPr>
      </w:pPr>
      <w:r>
        <w:rPr>
          <w:rFonts w:hint="eastAsia" w:ascii="宋体" w:hAnsi="宋体" w:eastAsia="宋体" w:cs="宋体"/>
          <w:b/>
          <w:kern w:val="0"/>
          <w:sz w:val="28"/>
          <w:szCs w:val="28"/>
        </w:rPr>
        <w:t>（五）其他环境保护设施</w:t>
      </w:r>
    </w:p>
    <w:p>
      <w:pPr>
        <w:keepNext w:val="0"/>
        <w:keepLines w:val="0"/>
        <w:pageBreakBefore w:val="0"/>
        <w:widowControl/>
        <w:kinsoku/>
        <w:wordWrap/>
        <w:overflowPunct/>
        <w:topLinePunct w:val="0"/>
        <w:autoSpaceDE w:val="0"/>
        <w:autoSpaceDN w:val="0"/>
        <w:bidi w:val="0"/>
        <w:adjustRightInd w:val="0"/>
        <w:snapToGrid w:val="0"/>
        <w:spacing w:line="360" w:lineRule="auto"/>
        <w:ind w:firstLine="548" w:firstLineChars="196"/>
        <w:jc w:val="left"/>
        <w:textAlignment w:val="auto"/>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1.环境风险防范设施</w:t>
      </w:r>
    </w:p>
    <w:p>
      <w:pPr>
        <w:keepNext w:val="0"/>
        <w:keepLines w:val="0"/>
        <w:pageBreakBefore w:val="0"/>
        <w:widowControl/>
        <w:kinsoku/>
        <w:wordWrap/>
        <w:overflowPunct/>
        <w:topLinePunct w:val="0"/>
        <w:bidi w:val="0"/>
        <w:adjustRightInd w:val="0"/>
        <w:snapToGrid w:val="0"/>
        <w:spacing w:line="360" w:lineRule="auto"/>
        <w:ind w:firstLine="517" w:firstLineChars="196"/>
        <w:jc w:val="left"/>
        <w:textAlignment w:val="auto"/>
        <w:rPr>
          <w:rFonts w:ascii="宋体" w:hAnsi="宋体" w:eastAsia="宋体" w:cs="Times New Roman"/>
          <w:color w:val="000000"/>
          <w:spacing w:val="-8"/>
          <w:kern w:val="0"/>
          <w:sz w:val="28"/>
          <w:szCs w:val="28"/>
        </w:rPr>
      </w:pPr>
      <w:r>
        <w:rPr>
          <w:rFonts w:hint="eastAsia" w:ascii="宋体" w:hAnsi="宋体" w:eastAsia="宋体" w:cs="Times New Roman"/>
          <w:color w:val="000000"/>
          <w:spacing w:val="-8"/>
          <w:kern w:val="0"/>
          <w:sz w:val="28"/>
          <w:szCs w:val="28"/>
        </w:rPr>
        <w:t>公司设有环保管理机构，环保规章制度基本完善。</w:t>
      </w:r>
    </w:p>
    <w:p>
      <w:pPr>
        <w:keepNext w:val="0"/>
        <w:keepLines w:val="0"/>
        <w:pageBreakBefore w:val="0"/>
        <w:widowControl/>
        <w:kinsoku/>
        <w:wordWrap/>
        <w:overflowPunct/>
        <w:topLinePunct w:val="0"/>
        <w:bidi w:val="0"/>
        <w:adjustRightInd w:val="0"/>
        <w:snapToGrid w:val="0"/>
        <w:spacing w:line="360" w:lineRule="auto"/>
        <w:ind w:firstLine="548" w:firstLineChars="196"/>
        <w:jc w:val="left"/>
        <w:textAlignment w:val="auto"/>
        <w:rPr>
          <w:rFonts w:ascii="宋体" w:hAnsi="宋体" w:eastAsia="宋体" w:cs="Times New Roman"/>
          <w:color w:val="FF0000"/>
          <w:sz w:val="28"/>
          <w:szCs w:val="28"/>
        </w:rPr>
      </w:pPr>
      <w:r>
        <w:rPr>
          <w:rFonts w:hint="eastAsia" w:ascii="宋体" w:hAnsi="宋体" w:eastAsia="宋体"/>
          <w:sz w:val="28"/>
          <w:szCs w:val="28"/>
        </w:rPr>
        <w:t>公司</w:t>
      </w:r>
      <w:r>
        <w:rPr>
          <w:rFonts w:hint="eastAsia" w:ascii="宋体" w:hAnsi="宋体" w:eastAsia="宋体" w:cs="Times New Roman"/>
          <w:color w:val="000000"/>
          <w:spacing w:val="-8"/>
          <w:kern w:val="0"/>
          <w:sz w:val="28"/>
          <w:szCs w:val="28"/>
        </w:rPr>
        <w:t>制定了《</w:t>
      </w:r>
      <w:r>
        <w:rPr>
          <w:rFonts w:hint="eastAsia" w:ascii="宋体" w:hAnsi="宋体" w:eastAsia="宋体"/>
          <w:sz w:val="28"/>
          <w:szCs w:val="28"/>
        </w:rPr>
        <w:t>潍坊金麒麟防水材料有限公司</w:t>
      </w:r>
      <w:r>
        <w:rPr>
          <w:rFonts w:hint="eastAsia" w:ascii="宋体" w:hAnsi="宋体" w:eastAsia="宋体" w:cs="Times New Roman"/>
          <w:color w:val="000000"/>
          <w:spacing w:val="-8"/>
          <w:kern w:val="0"/>
          <w:sz w:val="28"/>
          <w:szCs w:val="28"/>
        </w:rPr>
        <w:t>突发环境事件应急预案》，</w:t>
      </w:r>
      <w:r>
        <w:rPr>
          <w:rFonts w:hint="eastAsia" w:ascii="宋体" w:hAnsi="宋体" w:eastAsia="宋体" w:cs="Times New Roman"/>
          <w:sz w:val="28"/>
          <w:szCs w:val="28"/>
        </w:rPr>
        <w:t>适用于本公司的突发环境事件和应急处置工作，并在寿光市环境保护局进行登记备案，</w:t>
      </w:r>
      <w:r>
        <w:rPr>
          <w:rFonts w:hint="eastAsia" w:ascii="宋体" w:hAnsi="宋体" w:eastAsia="宋体" w:cs="Times New Roman"/>
          <w:color w:val="000000" w:themeColor="text1"/>
          <w:sz w:val="28"/>
          <w:szCs w:val="28"/>
        </w:rPr>
        <w:t>备案编号：370783-2018-261-L。</w:t>
      </w:r>
    </w:p>
    <w:p>
      <w:pPr>
        <w:keepNext w:val="0"/>
        <w:keepLines w:val="0"/>
        <w:pageBreakBefore w:val="0"/>
        <w:widowControl/>
        <w:kinsoku/>
        <w:wordWrap/>
        <w:overflowPunct/>
        <w:topLinePunct w:val="0"/>
        <w:bidi w:val="0"/>
        <w:adjustRightInd w:val="0"/>
        <w:snapToGrid w:val="0"/>
        <w:spacing w:line="360" w:lineRule="auto"/>
        <w:ind w:firstLine="548" w:firstLineChars="196"/>
        <w:jc w:val="left"/>
        <w:textAlignment w:val="auto"/>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2.项目无在线监测装置。</w:t>
      </w:r>
    </w:p>
    <w:p>
      <w:pPr>
        <w:keepNext w:val="0"/>
        <w:keepLines w:val="0"/>
        <w:pageBreakBefore w:val="0"/>
        <w:widowControl/>
        <w:kinsoku/>
        <w:wordWrap/>
        <w:overflowPunct/>
        <w:topLinePunct w:val="0"/>
        <w:autoSpaceDE w:val="0"/>
        <w:autoSpaceDN w:val="0"/>
        <w:bidi w:val="0"/>
        <w:adjustRightInd w:val="0"/>
        <w:snapToGrid w:val="0"/>
        <w:spacing w:line="360" w:lineRule="auto"/>
        <w:ind w:firstLine="548" w:firstLineChars="196"/>
        <w:jc w:val="left"/>
        <w:textAlignment w:val="auto"/>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3.其他设施</w:t>
      </w:r>
    </w:p>
    <w:p>
      <w:pPr>
        <w:keepNext w:val="0"/>
        <w:keepLines w:val="0"/>
        <w:pageBreakBefore w:val="0"/>
        <w:widowControl/>
        <w:kinsoku/>
        <w:wordWrap/>
        <w:overflowPunct/>
        <w:topLinePunct w:val="0"/>
        <w:autoSpaceDE w:val="0"/>
        <w:autoSpaceDN w:val="0"/>
        <w:bidi w:val="0"/>
        <w:adjustRightInd w:val="0"/>
        <w:snapToGrid w:val="0"/>
        <w:spacing w:line="360" w:lineRule="auto"/>
        <w:ind w:firstLine="520" w:firstLineChars="200"/>
        <w:textAlignment w:val="auto"/>
        <w:rPr>
          <w:rFonts w:ascii="宋体" w:hAnsi="宋体" w:eastAsia="宋体" w:cs="Times New Roman"/>
          <w:color w:val="000000"/>
          <w:spacing w:val="-10"/>
          <w:kern w:val="0"/>
          <w:sz w:val="28"/>
          <w:szCs w:val="28"/>
        </w:rPr>
      </w:pPr>
      <w:r>
        <w:rPr>
          <w:rFonts w:hint="eastAsia" w:ascii="宋体" w:hAnsi="宋体" w:eastAsia="宋体" w:cs="Times New Roman"/>
          <w:color w:val="000000"/>
          <w:spacing w:val="-10"/>
          <w:kern w:val="0"/>
          <w:sz w:val="28"/>
          <w:szCs w:val="28"/>
        </w:rPr>
        <w:t>项目无 “以新带老”改造工程、关停或拆除工程。</w:t>
      </w:r>
    </w:p>
    <w:p>
      <w:pPr>
        <w:pStyle w:val="2"/>
        <w:keepNext w:val="0"/>
        <w:keepLines w:val="0"/>
        <w:pageBreakBefore w:val="0"/>
        <w:kinsoku/>
        <w:wordWrap/>
        <w:overflowPunct/>
        <w:topLinePunct w:val="0"/>
        <w:bidi w:val="0"/>
        <w:spacing w:line="360" w:lineRule="auto"/>
        <w:textAlignment w:val="auto"/>
        <w:rPr>
          <w:sz w:val="28"/>
          <w:szCs w:val="28"/>
        </w:rPr>
      </w:pPr>
      <w:r>
        <w:rPr>
          <w:sz w:val="28"/>
          <w:szCs w:val="28"/>
        </w:rPr>
        <w:t xml:space="preserve"> </w:t>
      </w:r>
      <w:r>
        <w:rPr>
          <w:rFonts w:hint="eastAsia"/>
          <w:sz w:val="28"/>
          <w:szCs w:val="28"/>
        </w:rPr>
        <w:t xml:space="preserve">  </w:t>
      </w:r>
      <w:r>
        <w:rPr>
          <w:sz w:val="28"/>
          <w:szCs w:val="28"/>
        </w:rPr>
        <w:t>4</w:t>
      </w:r>
      <w:r>
        <w:rPr>
          <w:rFonts w:hint="eastAsia"/>
          <w:sz w:val="28"/>
          <w:szCs w:val="28"/>
        </w:rPr>
        <w:t>、项目环评及批复设置卫生防护距离100m。项目100m范围内无住宅、学校等环境敏感点。</w:t>
      </w:r>
    </w:p>
    <w:p>
      <w:pPr>
        <w:keepNext w:val="0"/>
        <w:keepLines w:val="0"/>
        <w:pageBreakBefore w:val="0"/>
        <w:kinsoku/>
        <w:wordWrap/>
        <w:overflowPunct/>
        <w:topLinePunct w:val="0"/>
        <w:bidi w:val="0"/>
        <w:adjustRightInd w:val="0"/>
        <w:snapToGrid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四、环境保护设施调试效果</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olor w:val="000000"/>
          <w:sz w:val="28"/>
          <w:szCs w:val="28"/>
        </w:rPr>
        <w:t>山东潍科检测服务有限公司</w:t>
      </w:r>
      <w:r>
        <w:rPr>
          <w:rFonts w:ascii="宋体" w:hAnsi="宋体" w:eastAsia="宋体" w:cs="Times New Roman"/>
          <w:color w:val="000000"/>
          <w:sz w:val="28"/>
          <w:szCs w:val="28"/>
        </w:rPr>
        <w:t>编制的</w:t>
      </w:r>
      <w:r>
        <w:rPr>
          <w:rFonts w:ascii="宋体" w:hAnsi="宋体" w:eastAsia="宋体"/>
          <w:color w:val="000000"/>
          <w:sz w:val="28"/>
          <w:szCs w:val="28"/>
        </w:rPr>
        <w:t>《</w:t>
      </w:r>
      <w:r>
        <w:rPr>
          <w:rFonts w:hint="eastAsia" w:ascii="宋体" w:hAnsi="宋体" w:eastAsia="宋体"/>
          <w:sz w:val="28"/>
          <w:szCs w:val="28"/>
        </w:rPr>
        <w:t>潍坊金麒麟防水材料有限公司年产1000万平方米防水卷材项目竣工环境保护验收</w:t>
      </w:r>
      <w:r>
        <w:rPr>
          <w:rFonts w:ascii="宋体" w:hAnsi="宋体" w:eastAsia="宋体" w:cs="Times New Roman"/>
          <w:color w:val="000000"/>
          <w:sz w:val="28"/>
          <w:szCs w:val="28"/>
        </w:rPr>
        <w:t>监测报告表》表明，</w:t>
      </w:r>
      <w:r>
        <w:rPr>
          <w:rFonts w:hint="eastAsia" w:ascii="宋体" w:hAnsi="宋体" w:eastAsia="宋体" w:cs="Times New Roman"/>
          <w:sz w:val="28"/>
          <w:szCs w:val="28"/>
        </w:rPr>
        <w:t>验收监测期间，项目生产工况稳定，生产负荷为</w:t>
      </w:r>
      <w:r>
        <w:rPr>
          <w:rFonts w:hint="eastAsia" w:ascii="宋体" w:hAnsi="宋体" w:eastAsia="宋体" w:cs="Times New Roman"/>
          <w:sz w:val="28"/>
          <w:szCs w:val="28"/>
          <w:lang w:val="en-US" w:eastAsia="zh-CN"/>
        </w:rPr>
        <w:t>78.</w:t>
      </w:r>
      <w:r>
        <w:rPr>
          <w:rFonts w:hint="eastAsia" w:ascii="宋体" w:hAnsi="宋体" w:eastAsia="宋体" w:cs="Times New Roman"/>
          <w:color w:val="auto"/>
          <w:sz w:val="28"/>
          <w:szCs w:val="28"/>
          <w:lang w:val="en-US" w:eastAsia="zh-CN"/>
        </w:rPr>
        <w:t>8</w:t>
      </w:r>
      <w:r>
        <w:rPr>
          <w:rFonts w:ascii="宋体" w:hAnsi="宋体" w:eastAsia="宋体" w:cs="Times New Roman"/>
          <w:color w:val="auto"/>
          <w:sz w:val="28"/>
          <w:szCs w:val="28"/>
        </w:rPr>
        <w:t>%-</w:t>
      </w:r>
      <w:r>
        <w:rPr>
          <w:rFonts w:hint="eastAsia" w:ascii="宋体" w:hAnsi="宋体" w:eastAsia="宋体" w:cs="Times New Roman"/>
          <w:color w:val="auto"/>
          <w:sz w:val="28"/>
          <w:szCs w:val="28"/>
          <w:lang w:val="en-US" w:eastAsia="zh-CN"/>
        </w:rPr>
        <w:t>81.8</w:t>
      </w:r>
      <w:r>
        <w:rPr>
          <w:rFonts w:ascii="宋体" w:hAnsi="宋体" w:eastAsia="宋体" w:cs="Times New Roman"/>
          <w:color w:val="auto"/>
          <w:sz w:val="28"/>
          <w:szCs w:val="28"/>
        </w:rPr>
        <w:t>%</w:t>
      </w:r>
      <w:r>
        <w:rPr>
          <w:rFonts w:hint="eastAsia" w:ascii="宋体" w:hAnsi="宋体" w:eastAsia="宋体" w:cs="Times New Roman"/>
          <w:sz w:val="28"/>
          <w:szCs w:val="28"/>
        </w:rPr>
        <w:t>，环境保护设备正常运行，满足建设项目竣工环境保护验收监测对工况稳定以及环保设备运行的要求，监测结果能作为该项目竣工环境保护验收依据。</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sz w:val="28"/>
          <w:szCs w:val="28"/>
        </w:rPr>
      </w:pPr>
      <w:r>
        <w:rPr>
          <w:rFonts w:hint="eastAsia" w:ascii="宋体" w:hAnsi="宋体" w:eastAsia="宋体"/>
          <w:sz w:val="28"/>
          <w:szCs w:val="28"/>
        </w:rPr>
        <w:t>污染物排放情况：</w:t>
      </w:r>
    </w:p>
    <w:p>
      <w:pPr>
        <w:keepNext w:val="0"/>
        <w:keepLines w:val="0"/>
        <w:pageBreakBefore w:val="0"/>
        <w:kinsoku/>
        <w:wordWrap/>
        <w:overflowPunct/>
        <w:topLinePunct w:val="0"/>
        <w:bidi w:val="0"/>
        <w:adjustRightInd w:val="0"/>
        <w:snapToGrid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（一）废水</w:t>
      </w:r>
    </w:p>
    <w:p>
      <w:pPr>
        <w:keepNext w:val="0"/>
        <w:keepLines w:val="0"/>
        <w:pageBreakBefore w:val="0"/>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监测结果表明：验收监测期间，生活污水的pH范围为7.24-7.69，其余污染物两天检测结果的日均值取最大值为：化学需氧量为143mg/L，生化需氧量为42.2mg/L，悬浮物为16 mg/L，氨氮为18.60mg/L，总磷为1.22mg/L，总氮为37.1mg/L，阴离子表面活性剂未检出，均满足《污水排入城镇下水道水质标准》（GB/T 31962-2015）表1中B等级标准和污水处理厂接收水质标准。</w:t>
      </w:r>
    </w:p>
    <w:p>
      <w:pPr>
        <w:keepNext w:val="0"/>
        <w:keepLines w:val="0"/>
        <w:pageBreakBefore w:val="0"/>
        <w:kinsoku/>
        <w:wordWrap/>
        <w:overflowPunct/>
        <w:topLinePunct w:val="0"/>
        <w:bidi w:val="0"/>
        <w:adjustRightInd w:val="0"/>
        <w:snapToGrid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（二）废气</w:t>
      </w:r>
    </w:p>
    <w:p>
      <w:pPr>
        <w:pStyle w:val="2"/>
        <w:keepNext w:val="0"/>
        <w:keepLines w:val="0"/>
        <w:pageBreakBefore w:val="0"/>
        <w:kinsoku/>
        <w:wordWrap/>
        <w:overflowPunct/>
        <w:topLinePunct w:val="0"/>
        <w:bidi w:val="0"/>
        <w:spacing w:line="360" w:lineRule="auto"/>
        <w:ind w:firstLine="560" w:firstLineChars="200"/>
        <w:textAlignment w:val="auto"/>
        <w:rPr>
          <w:rFonts w:hint="eastAsia" w:hAnsi="宋体" w:cs="Times New Roman"/>
          <w:sz w:val="28"/>
          <w:szCs w:val="28"/>
        </w:rPr>
      </w:pPr>
      <w:r>
        <w:rPr>
          <w:rFonts w:hint="eastAsia" w:hAnsi="宋体"/>
          <w:sz w:val="28"/>
          <w:szCs w:val="28"/>
        </w:rPr>
        <w:t>监测结果表明：</w:t>
      </w:r>
      <w:r>
        <w:rPr>
          <w:rFonts w:hint="eastAsia" w:hAnsi="宋体" w:cs="Times New Roman"/>
          <w:sz w:val="28"/>
          <w:szCs w:val="28"/>
        </w:rPr>
        <w:t>验收监测期间，导热油炉排气筒P1颗粒物排放浓度的最大值为8.0mg/m</w:t>
      </w:r>
      <w:r>
        <w:rPr>
          <w:rFonts w:hint="eastAsia" w:hAnsi="宋体" w:cs="Times New Roman"/>
          <w:sz w:val="28"/>
          <w:szCs w:val="28"/>
          <w:vertAlign w:val="superscript"/>
        </w:rPr>
        <w:t>3</w:t>
      </w:r>
      <w:r>
        <w:rPr>
          <w:rFonts w:hint="eastAsia" w:hAnsi="宋体" w:cs="Times New Roman"/>
          <w:sz w:val="28"/>
          <w:szCs w:val="28"/>
        </w:rPr>
        <w:t>，二氧化硫排放浓度的最大值为4mg/m3，氮氧化物排放浓度的最大值为92 mg/m3，均满足《山东省区域性大气污染物综合排放标准》（DB 37/2376-2013）表2中大气污染物排放浓度限值（第四时段）重点控制区要求。烟气黑度小于1级，满足《山东省锅炉大气污染物排放标准（DB37/2374-2013）》表1现有锅炉大气污染物排放浓度限值要求。沥青烟气排气筒P2实测沥青烟浓度、排放速率最大值分别为24mg/m3、0.14kg/h；苯并[a]芘实测浓度、排放速率最大值分别为4.3×10-5mg/m3、2.6×10-7 kg/h，符合《大气污染物综合排放标准》(GB16297-1996)表2中浓度限值要求。非甲烷总烃实测浓度、排放速率最大值分别为8.13mg/m3、0.0510 kg/h，符合《大气污染物综合排放标准》(GB16297-1996)表2中浓度限值要求，也符合《合成树脂工业污染物排放标准》（GB31572-2015）表5大气污染物特别排放</w:t>
      </w:r>
      <w:r>
        <w:rPr>
          <w:rFonts w:hint="eastAsia" w:hAnsi="宋体" w:cs="Times New Roman"/>
          <w:sz w:val="28"/>
          <w:szCs w:val="28"/>
          <w:lang w:val="en-US" w:eastAsia="zh-CN"/>
        </w:rPr>
        <w:t>浓度</w:t>
      </w:r>
      <w:r>
        <w:rPr>
          <w:rFonts w:hint="eastAsia" w:hAnsi="宋体" w:cs="Times New Roman"/>
          <w:sz w:val="28"/>
          <w:szCs w:val="28"/>
        </w:rPr>
        <w:t>限值要求。</w:t>
      </w:r>
    </w:p>
    <w:p>
      <w:pPr>
        <w:pStyle w:val="2"/>
        <w:keepNext w:val="0"/>
        <w:keepLines w:val="0"/>
        <w:pageBreakBefore w:val="0"/>
        <w:kinsoku/>
        <w:wordWrap/>
        <w:overflowPunct/>
        <w:topLinePunct w:val="0"/>
        <w:bidi w:val="0"/>
        <w:spacing w:line="360" w:lineRule="auto"/>
        <w:ind w:firstLine="560" w:firstLineChars="200"/>
        <w:textAlignment w:val="auto"/>
        <w:rPr>
          <w:rFonts w:hAnsi="宋体" w:cs="Times New Roman"/>
          <w:sz w:val="28"/>
          <w:szCs w:val="28"/>
        </w:rPr>
      </w:pPr>
      <w:r>
        <w:rPr>
          <w:rFonts w:hint="eastAsia" w:hAnsi="宋体" w:cs="Times New Roman"/>
          <w:sz w:val="28"/>
          <w:szCs w:val="28"/>
        </w:rPr>
        <w:t>验收监测期间，无组织排放废气颗粒物的排放浓度最高值为0.2854 mg/m3，苯并[</w:t>
      </w:r>
      <w:r>
        <w:rPr>
          <w:rFonts w:hAnsi="宋体" w:cs="Times New Roman"/>
          <w:sz w:val="28"/>
          <w:szCs w:val="28"/>
        </w:rPr>
        <w:t>a]</w:t>
      </w:r>
      <w:r>
        <w:rPr>
          <w:rFonts w:hint="eastAsia" w:hAnsi="宋体" w:cs="Times New Roman"/>
          <w:sz w:val="28"/>
          <w:szCs w:val="28"/>
        </w:rPr>
        <w:t>芘排放浓度最高值为</w:t>
      </w:r>
      <w:r>
        <w:rPr>
          <w:rFonts w:hAnsi="宋体" w:cs="Times New Roman"/>
          <w:sz w:val="28"/>
          <w:szCs w:val="28"/>
        </w:rPr>
        <w:t>3.9</w:t>
      </w:r>
      <w:r>
        <w:rPr>
          <w:rFonts w:hint="eastAsia" w:hAnsi="宋体" w:cs="Times New Roman"/>
          <w:sz w:val="28"/>
          <w:szCs w:val="28"/>
        </w:rPr>
        <w:t>×</w:t>
      </w:r>
      <w:r>
        <w:rPr>
          <w:rFonts w:hAnsi="宋体" w:cs="Times New Roman"/>
          <w:sz w:val="28"/>
          <w:szCs w:val="28"/>
        </w:rPr>
        <w:t>10</w:t>
      </w:r>
      <w:r>
        <w:rPr>
          <w:rFonts w:hAnsi="宋体" w:cs="Times New Roman"/>
          <w:sz w:val="28"/>
          <w:szCs w:val="28"/>
          <w:vertAlign w:val="superscript"/>
        </w:rPr>
        <w:t>-6</w:t>
      </w:r>
      <w:r>
        <w:rPr>
          <w:rFonts w:hAnsi="宋体" w:cs="Times New Roman"/>
          <w:sz w:val="28"/>
          <w:szCs w:val="28"/>
        </w:rPr>
        <w:t xml:space="preserve"> mg/m3</w:t>
      </w:r>
      <w:r>
        <w:rPr>
          <w:rFonts w:hint="eastAsia" w:hAnsi="宋体" w:cs="Times New Roman"/>
          <w:sz w:val="28"/>
          <w:szCs w:val="28"/>
        </w:rPr>
        <w:t>，非甲烷总烃排放浓度最高值为</w:t>
      </w:r>
      <w:r>
        <w:rPr>
          <w:rFonts w:hAnsi="宋体" w:cs="Times New Roman"/>
          <w:sz w:val="28"/>
          <w:szCs w:val="28"/>
        </w:rPr>
        <w:t>0.70 mg/m3</w:t>
      </w:r>
      <w:r>
        <w:rPr>
          <w:rFonts w:hint="eastAsia" w:hAnsi="宋体" w:cs="Times New Roman"/>
          <w:sz w:val="28"/>
          <w:szCs w:val="28"/>
        </w:rPr>
        <w:t>，符合《大气污染物综合排放标准》</w:t>
      </w:r>
      <w:r>
        <w:rPr>
          <w:rFonts w:hAnsi="宋体" w:cs="Times New Roman"/>
          <w:sz w:val="28"/>
          <w:szCs w:val="28"/>
        </w:rPr>
        <w:t>(GB16297-1996)</w:t>
      </w:r>
      <w:r>
        <w:rPr>
          <w:rFonts w:hint="eastAsia" w:hAnsi="宋体" w:cs="Times New Roman"/>
          <w:sz w:val="28"/>
          <w:szCs w:val="28"/>
        </w:rPr>
        <w:t>中表</w:t>
      </w:r>
      <w:r>
        <w:rPr>
          <w:rFonts w:hAnsi="宋体" w:cs="Times New Roman"/>
          <w:sz w:val="28"/>
          <w:szCs w:val="28"/>
        </w:rPr>
        <w:t>2</w:t>
      </w:r>
      <w:r>
        <w:rPr>
          <w:rFonts w:hint="eastAsia" w:hAnsi="宋体" w:cs="Times New Roman"/>
          <w:sz w:val="28"/>
          <w:szCs w:val="28"/>
        </w:rPr>
        <w:t>中无组织标准要求，也符合《合成树脂工业污染物排放标准》（</w:t>
      </w:r>
      <w:r>
        <w:rPr>
          <w:rFonts w:hAnsi="宋体" w:cs="Times New Roman"/>
          <w:sz w:val="28"/>
          <w:szCs w:val="28"/>
        </w:rPr>
        <w:t>GB31572-2015</w:t>
      </w:r>
      <w:r>
        <w:rPr>
          <w:rFonts w:hint="eastAsia" w:hAnsi="宋体" w:cs="Times New Roman"/>
          <w:sz w:val="28"/>
          <w:szCs w:val="28"/>
        </w:rPr>
        <w:t>）表</w:t>
      </w:r>
      <w:r>
        <w:rPr>
          <w:rFonts w:hAnsi="宋体" w:cs="Times New Roman"/>
          <w:sz w:val="28"/>
          <w:szCs w:val="28"/>
        </w:rPr>
        <w:t>9</w:t>
      </w:r>
      <w:r>
        <w:rPr>
          <w:rFonts w:hint="eastAsia" w:hAnsi="宋体" w:cs="Times New Roman"/>
          <w:sz w:val="28"/>
          <w:szCs w:val="28"/>
        </w:rPr>
        <w:t>企业边界大气污染物浓度限值。</w:t>
      </w:r>
    </w:p>
    <w:p>
      <w:pPr>
        <w:pStyle w:val="2"/>
        <w:keepNext w:val="0"/>
        <w:keepLines w:val="0"/>
        <w:pageBreakBefore w:val="0"/>
        <w:kinsoku/>
        <w:wordWrap/>
        <w:overflowPunct/>
        <w:topLinePunct w:val="0"/>
        <w:bidi w:val="0"/>
        <w:spacing w:line="360" w:lineRule="auto"/>
        <w:ind w:firstLine="562" w:firstLineChars="200"/>
        <w:textAlignment w:val="auto"/>
        <w:rPr>
          <w:rFonts w:hAnsi="宋体"/>
          <w:sz w:val="28"/>
          <w:szCs w:val="28"/>
        </w:rPr>
      </w:pPr>
      <w:r>
        <w:rPr>
          <w:rFonts w:hint="eastAsia" w:hAnsi="宋体" w:cs="宋体"/>
          <w:b/>
          <w:kern w:val="0"/>
          <w:sz w:val="28"/>
          <w:szCs w:val="28"/>
        </w:rPr>
        <w:t>（三）噪声</w:t>
      </w:r>
    </w:p>
    <w:p>
      <w:pPr>
        <w:keepNext w:val="0"/>
        <w:keepLines w:val="0"/>
        <w:pageBreakBefore w:val="0"/>
        <w:kinsoku/>
        <w:wordWrap/>
        <w:overflowPunct/>
        <w:topLinePunct w:val="0"/>
        <w:bidi w:val="0"/>
        <w:spacing w:line="360" w:lineRule="auto"/>
        <w:ind w:firstLine="560" w:firstLineChars="200"/>
        <w:textAlignment w:val="auto"/>
        <w:rPr>
          <w:rFonts w:hint="eastAsia" w:ascii="宋体" w:hAnsi="宋体" w:eastAsia="宋体" w:cs="Times New Roman"/>
          <w:sz w:val="28"/>
          <w:szCs w:val="28"/>
        </w:rPr>
      </w:pPr>
      <w:r>
        <w:rPr>
          <w:rFonts w:hint="eastAsia" w:ascii="宋体" w:hAnsi="宋体" w:eastAsia="宋体" w:cs="Times New Roman"/>
          <w:sz w:val="28"/>
          <w:szCs w:val="28"/>
        </w:rPr>
        <w:t>监测结果表明：验收监测期间，该项目东厂界、南厂界、北厂界和夜间西厂界的噪声满足《工业企业厂界环境噪声排放标准》（GB12348-2008）中2类区标准要求。西厂界两天昼间最大噪声值为69.3dB（A），超标9.3dB（A）；昼间噪声超标原因为西厂界处冷却水塔所致，项目夜间氧化车间运行，冷却水塔不运行。</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企业周边200m范围内没有环境敏感点。</w:t>
      </w:r>
    </w:p>
    <w:p>
      <w:pPr>
        <w:keepNext w:val="0"/>
        <w:keepLines w:val="0"/>
        <w:pageBreakBefore w:val="0"/>
        <w:kinsoku/>
        <w:wordWrap/>
        <w:overflowPunct/>
        <w:topLinePunct w:val="0"/>
        <w:bidi w:val="0"/>
        <w:spacing w:line="360" w:lineRule="auto"/>
        <w:ind w:firstLine="562" w:firstLineChars="200"/>
        <w:textAlignment w:val="auto"/>
        <w:rPr>
          <w:rFonts w:ascii="宋体" w:hAnsi="宋体" w:eastAsia="宋体" w:cs="宋体"/>
          <w:b/>
          <w:kern w:val="0"/>
          <w:sz w:val="28"/>
          <w:szCs w:val="28"/>
        </w:rPr>
      </w:pPr>
      <w:r>
        <w:rPr>
          <w:rFonts w:hint="eastAsia" w:ascii="宋体" w:hAnsi="宋体" w:eastAsia="宋体" w:cs="宋体"/>
          <w:b/>
          <w:kern w:val="0"/>
          <w:sz w:val="28"/>
          <w:szCs w:val="28"/>
        </w:rPr>
        <w:t>（四）固体废物</w:t>
      </w:r>
    </w:p>
    <w:p>
      <w:pPr>
        <w:pStyle w:val="33"/>
        <w:keepNext w:val="0"/>
        <w:keepLines w:val="0"/>
        <w:pageBreakBefore w:val="0"/>
        <w:kinsoku/>
        <w:wordWrap/>
        <w:overflowPunct/>
        <w:topLinePunct w:val="0"/>
        <w:bidi w:val="0"/>
        <w:spacing w:after="0" w:line="360" w:lineRule="auto"/>
        <w:ind w:firstLine="560"/>
        <w:textAlignment w:val="auto"/>
        <w:rPr>
          <w:rFonts w:ascii="宋体" w:hAnsi="宋体"/>
          <w:kern w:val="2"/>
          <w:lang w:val="zh-CN"/>
        </w:rPr>
      </w:pPr>
      <w:r>
        <w:rPr>
          <w:rFonts w:hint="eastAsia" w:ascii="宋体" w:hAnsi="宋体"/>
          <w:kern w:val="2"/>
          <w:lang w:val="zh-CN"/>
        </w:rPr>
        <w:t>项目生产过程中计量卷曲裁边产生边角料经收集后回用于生产。沥青烟净化系统收集的沥青渣和定期清理沥青储罐的废沥青渣收集后作为原料全部回用于生产。包装废料由寿光市台头镇东庄村肖刚废品收购站收购。</w:t>
      </w:r>
      <w:r>
        <w:rPr>
          <w:rFonts w:hint="eastAsia" w:ascii="宋体" w:hAnsi="宋体"/>
          <w:kern w:val="2"/>
          <w:lang w:val="en-US" w:eastAsia="zh-CN"/>
        </w:rPr>
        <w:t>废导热</w:t>
      </w:r>
      <w:r>
        <w:rPr>
          <w:rFonts w:hint="eastAsia" w:ascii="宋体" w:hAnsi="宋体"/>
          <w:kern w:val="2"/>
          <w:lang w:val="zh-CN"/>
        </w:rPr>
        <w:t>油</w:t>
      </w:r>
      <w:r>
        <w:rPr>
          <w:rFonts w:hint="eastAsia" w:ascii="宋体" w:hAnsi="宋体"/>
          <w:kern w:val="2"/>
          <w:lang w:val="en-US" w:eastAsia="zh-CN"/>
        </w:rPr>
        <w:t>待</w:t>
      </w:r>
      <w:r>
        <w:rPr>
          <w:rFonts w:hint="eastAsia" w:ascii="宋体" w:hAnsi="宋体"/>
          <w:kern w:val="2"/>
          <w:lang w:val="zh-CN"/>
        </w:rPr>
        <w:t>产生后存放在危废暂存库，作为软化油回用于本厂生产，不外排。废导热油空桶在危废库暂存后，由山东沾化莱斯特石油化工有限公司回收使用。生活垃圾由环卫部门定期清运。</w:t>
      </w:r>
    </w:p>
    <w:p>
      <w:pPr>
        <w:pStyle w:val="33"/>
        <w:keepNext w:val="0"/>
        <w:keepLines w:val="0"/>
        <w:pageBreakBefore w:val="0"/>
        <w:kinsoku/>
        <w:wordWrap/>
        <w:overflowPunct/>
        <w:topLinePunct w:val="0"/>
        <w:bidi w:val="0"/>
        <w:spacing w:after="0" w:line="360" w:lineRule="auto"/>
        <w:ind w:firstLine="562"/>
        <w:textAlignment w:val="auto"/>
        <w:rPr>
          <w:rFonts w:ascii="宋体" w:hAnsi="宋体" w:cs="宋体"/>
          <w:b/>
        </w:rPr>
      </w:pPr>
      <w:r>
        <w:rPr>
          <w:rFonts w:hint="eastAsia" w:ascii="宋体" w:hAnsi="宋体" w:cs="宋体"/>
          <w:b/>
        </w:rPr>
        <w:t>五、验收结论</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sz w:val="28"/>
          <w:szCs w:val="28"/>
        </w:rPr>
        <w:t>潍坊金麒麟防水材料有限公司年产1000万平方米防水卷材项目</w:t>
      </w:r>
      <w:bookmarkStart w:id="7" w:name="_GoBack"/>
      <w:r>
        <w:rPr>
          <w:rFonts w:hint="eastAsia" w:ascii="宋体" w:hAnsi="宋体" w:eastAsia="宋体" w:cs="宋体"/>
          <w:sz w:val="28"/>
          <w:szCs w:val="28"/>
        </w:rPr>
        <w:t>环保手续齐全，总体落实了环评及环评批复要求，</w:t>
      </w:r>
      <w:r>
        <w:rPr>
          <w:rFonts w:hint="eastAsia" w:ascii="宋体" w:hAnsi="宋体" w:eastAsia="宋体" w:cs="Times New Roman"/>
          <w:color w:val="000000"/>
          <w:sz w:val="28"/>
          <w:szCs w:val="28"/>
        </w:rPr>
        <w:t>各类</w:t>
      </w:r>
      <w:r>
        <w:rPr>
          <w:rFonts w:ascii="宋体" w:hAnsi="宋体" w:eastAsia="宋体" w:cs="Times New Roman"/>
          <w:color w:val="000000"/>
          <w:sz w:val="28"/>
          <w:szCs w:val="28"/>
        </w:rPr>
        <w:t>污染物达标排</w:t>
      </w:r>
      <w:bookmarkEnd w:id="7"/>
      <w:r>
        <w:rPr>
          <w:rFonts w:ascii="宋体" w:hAnsi="宋体" w:eastAsia="宋体" w:cs="Times New Roman"/>
          <w:color w:val="000000"/>
          <w:sz w:val="28"/>
          <w:szCs w:val="28"/>
        </w:rPr>
        <w:t>放，符合建设项目竣工环保验收条件，</w:t>
      </w:r>
      <w:r>
        <w:rPr>
          <w:rFonts w:hint="eastAsia" w:ascii="宋体" w:hAnsi="宋体" w:eastAsia="宋体" w:cs="Times New Roman"/>
          <w:color w:val="000000"/>
          <w:sz w:val="28"/>
          <w:szCs w:val="28"/>
        </w:rPr>
        <w:t>项目工程</w:t>
      </w:r>
      <w:r>
        <w:rPr>
          <w:rFonts w:ascii="宋体" w:hAnsi="宋体" w:eastAsia="宋体" w:cs="Times New Roman"/>
          <w:color w:val="000000"/>
          <w:sz w:val="28"/>
          <w:szCs w:val="28"/>
        </w:rPr>
        <w:t>竣工环境保护验收合格。</w:t>
      </w:r>
    </w:p>
    <w:p>
      <w:pPr>
        <w:keepNext w:val="0"/>
        <w:keepLines w:val="0"/>
        <w:pageBreakBefore w:val="0"/>
        <w:kinsoku/>
        <w:wordWrap/>
        <w:overflowPunct/>
        <w:topLinePunct w:val="0"/>
        <w:autoSpaceDE w:val="0"/>
        <w:autoSpaceDN w:val="0"/>
        <w:bidi w:val="0"/>
        <w:adjustRightInd w:val="0"/>
        <w:spacing w:line="360" w:lineRule="auto"/>
        <w:ind w:right="25" w:rightChars="12" w:firstLine="700" w:firstLineChars="249"/>
        <w:textAlignment w:val="auto"/>
        <w:rPr>
          <w:rFonts w:ascii="宋体" w:hAnsi="宋体" w:eastAsia="宋体"/>
          <w:b/>
          <w:bCs/>
          <w:kern w:val="0"/>
          <w:sz w:val="28"/>
          <w:szCs w:val="28"/>
        </w:rPr>
      </w:pPr>
      <w:r>
        <w:rPr>
          <w:rFonts w:hint="eastAsia" w:ascii="宋体" w:hAnsi="宋体" w:eastAsia="宋体"/>
          <w:b/>
          <w:bCs/>
          <w:kern w:val="0"/>
          <w:sz w:val="28"/>
          <w:szCs w:val="28"/>
        </w:rPr>
        <w:t>六、后续工作</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cs="Times New Roman"/>
          <w:color w:val="000000"/>
          <w:sz w:val="28"/>
          <w:szCs w:val="28"/>
        </w:rPr>
      </w:pPr>
      <w:r>
        <w:rPr>
          <w:rFonts w:ascii="宋体" w:hAnsi="宋体" w:eastAsia="宋体" w:cs="Times New Roman"/>
          <w:color w:val="000000"/>
          <w:sz w:val="28"/>
          <w:szCs w:val="28"/>
        </w:rPr>
        <w:t>1、切实落实环境保护监测计划，定期开展废</w:t>
      </w:r>
      <w:r>
        <w:rPr>
          <w:rFonts w:hint="eastAsia" w:ascii="宋体" w:hAnsi="宋体" w:eastAsia="宋体" w:cs="Times New Roman"/>
          <w:color w:val="000000"/>
          <w:sz w:val="28"/>
          <w:szCs w:val="28"/>
        </w:rPr>
        <w:t>水</w:t>
      </w:r>
      <w:r>
        <w:rPr>
          <w:rFonts w:ascii="宋体" w:hAnsi="宋体" w:eastAsia="宋体" w:cs="Times New Roman"/>
          <w:color w:val="000000"/>
          <w:sz w:val="28"/>
          <w:szCs w:val="28"/>
        </w:rPr>
        <w:t>、</w:t>
      </w:r>
      <w:r>
        <w:rPr>
          <w:rFonts w:hint="eastAsia" w:ascii="宋体" w:hAnsi="宋体" w:eastAsia="宋体" w:cs="Times New Roman"/>
          <w:color w:val="000000"/>
          <w:sz w:val="28"/>
          <w:szCs w:val="28"/>
        </w:rPr>
        <w:t>废气、</w:t>
      </w:r>
      <w:r>
        <w:rPr>
          <w:rFonts w:ascii="宋体" w:hAnsi="宋体" w:eastAsia="宋体" w:cs="Times New Roman"/>
          <w:color w:val="000000"/>
          <w:sz w:val="28"/>
          <w:szCs w:val="28"/>
        </w:rPr>
        <w:t>噪声跟踪监测，并做好记录</w:t>
      </w:r>
      <w:r>
        <w:rPr>
          <w:rFonts w:hint="eastAsia" w:ascii="宋体" w:hAnsi="宋体" w:eastAsia="宋体" w:cs="Times New Roman"/>
          <w:color w:val="000000"/>
          <w:sz w:val="28"/>
          <w:szCs w:val="28"/>
        </w:rPr>
        <w:t>；</w:t>
      </w:r>
      <w:r>
        <w:rPr>
          <w:rFonts w:ascii="宋体" w:hAnsi="宋体" w:eastAsia="宋体" w:cs="Times New Roman"/>
          <w:color w:val="000000"/>
          <w:sz w:val="28"/>
          <w:szCs w:val="28"/>
        </w:rPr>
        <w:t>按照《企事业单位环境信息公开管理办法》要求进行环境信息公开。</w:t>
      </w:r>
    </w:p>
    <w:p>
      <w:pPr>
        <w:keepNext w:val="0"/>
        <w:keepLines w:val="0"/>
        <w:pageBreakBefore w:val="0"/>
        <w:kinsoku/>
        <w:wordWrap/>
        <w:overflowPunct/>
        <w:topLinePunct w:val="0"/>
        <w:bidi w:val="0"/>
        <w:spacing w:line="360" w:lineRule="auto"/>
        <w:ind w:firstLine="560" w:firstLineChars="200"/>
        <w:textAlignment w:val="auto"/>
        <w:rPr>
          <w:rFonts w:ascii="宋体" w:hAnsi="宋体" w:eastAsia="宋体" w:cs="Times New Roman"/>
          <w:color w:val="000000"/>
          <w:sz w:val="28"/>
          <w:szCs w:val="28"/>
        </w:rPr>
      </w:pPr>
      <w:r>
        <w:rPr>
          <w:rFonts w:ascii="宋体" w:hAnsi="宋体" w:eastAsia="宋体" w:cs="Times New Roman"/>
          <w:color w:val="000000"/>
          <w:sz w:val="28"/>
          <w:szCs w:val="28"/>
        </w:rPr>
        <w:t>2、加强各类环保设施的日常维护和管理，确保环保设施正常运转；如遇环保设施检修、停运等情况，要及时向当地环保部门报告，并如实记录备查。</w:t>
      </w:r>
    </w:p>
    <w:p>
      <w:pPr>
        <w:keepNext w:val="0"/>
        <w:keepLines w:val="0"/>
        <w:pageBreakBefore w:val="0"/>
        <w:kinsoku/>
        <w:wordWrap/>
        <w:overflowPunct/>
        <w:topLinePunct w:val="0"/>
        <w:autoSpaceDE w:val="0"/>
        <w:autoSpaceDN w:val="0"/>
        <w:bidi w:val="0"/>
        <w:adjustRightInd w:val="0"/>
        <w:spacing w:line="360" w:lineRule="auto"/>
        <w:ind w:firstLine="560" w:firstLineChars="200"/>
        <w:textAlignment w:val="auto"/>
        <w:outlineLvl w:val="2"/>
        <w:rPr>
          <w:rFonts w:ascii="宋体" w:hAnsi="宋体" w:eastAsia="宋体"/>
          <w:sz w:val="28"/>
          <w:szCs w:val="28"/>
        </w:rPr>
      </w:pPr>
      <w:r>
        <w:rPr>
          <w:rFonts w:hint="eastAsia" w:ascii="宋体" w:hAnsi="宋体" w:eastAsia="宋体"/>
          <w:sz w:val="28"/>
          <w:szCs w:val="28"/>
        </w:rPr>
        <w:t>3.进一步健全环保管理机构及人员，加强对环保管理人员培训，提高员工的环保意识。</w:t>
      </w:r>
    </w:p>
    <w:p>
      <w:pPr>
        <w:keepNext w:val="0"/>
        <w:keepLines w:val="0"/>
        <w:pageBreakBefore w:val="0"/>
        <w:kinsoku/>
        <w:wordWrap/>
        <w:overflowPunct/>
        <w:topLinePunct w:val="0"/>
        <w:autoSpaceDE w:val="0"/>
        <w:autoSpaceDN w:val="0"/>
        <w:bidi w:val="0"/>
        <w:adjustRightInd w:val="0"/>
        <w:spacing w:line="360" w:lineRule="auto"/>
        <w:ind w:firstLine="560"/>
        <w:textAlignment w:val="auto"/>
        <w:outlineLvl w:val="2"/>
        <w:rPr>
          <w:rFonts w:ascii="宋体" w:hAnsi="宋体" w:eastAsia="宋体"/>
          <w:color w:val="000000"/>
          <w:sz w:val="28"/>
          <w:szCs w:val="28"/>
        </w:rPr>
      </w:pPr>
      <w:r>
        <w:rPr>
          <w:rFonts w:hint="eastAsia" w:ascii="宋体" w:hAnsi="宋体" w:eastAsia="宋体"/>
          <w:color w:val="000000"/>
          <w:sz w:val="28"/>
          <w:szCs w:val="28"/>
        </w:rPr>
        <w:t>4、按关于发布《建设项目竣工环境保护验收暂行办法》的公告（国环规环评[2017]4号）的规定，噪声和固废环保设施经主管环保部门验收后，项目可正式投入生产运行。</w:t>
      </w:r>
    </w:p>
    <w:p>
      <w:pPr>
        <w:pStyle w:val="2"/>
        <w:keepNext w:val="0"/>
        <w:keepLines w:val="0"/>
        <w:pageBreakBefore w:val="0"/>
        <w:kinsoku/>
        <w:wordWrap/>
        <w:overflowPunct/>
        <w:topLinePunct w:val="0"/>
        <w:bidi w:val="0"/>
        <w:spacing w:line="360" w:lineRule="auto"/>
        <w:ind w:firstLine="420" w:firstLineChars="150"/>
        <w:textAlignment w:val="auto"/>
        <w:rPr>
          <w:sz w:val="28"/>
          <w:szCs w:val="28"/>
        </w:rPr>
      </w:pPr>
      <w:r>
        <w:rPr>
          <w:sz w:val="28"/>
          <w:szCs w:val="28"/>
        </w:rPr>
        <w:t>5</w:t>
      </w:r>
      <w:r>
        <w:rPr>
          <w:rFonts w:hint="eastAsia"/>
          <w:sz w:val="28"/>
          <w:szCs w:val="28"/>
        </w:rPr>
        <w:t>、加强噪声治理，保证噪声达标。</w:t>
      </w:r>
    </w:p>
    <w:p>
      <w:pPr>
        <w:pStyle w:val="2"/>
        <w:keepNext w:val="0"/>
        <w:keepLines w:val="0"/>
        <w:pageBreakBefore w:val="0"/>
        <w:kinsoku/>
        <w:wordWrap/>
        <w:overflowPunct/>
        <w:topLinePunct w:val="0"/>
        <w:bidi w:val="0"/>
        <w:spacing w:line="360" w:lineRule="auto"/>
        <w:ind w:firstLine="420" w:firstLineChars="150"/>
        <w:textAlignment w:val="auto"/>
        <w:rPr>
          <w:rFonts w:hint="eastAsia" w:hAnsi="宋体"/>
          <w:sz w:val="28"/>
          <w:szCs w:val="28"/>
        </w:rPr>
      </w:pPr>
      <w:r>
        <w:rPr>
          <w:rFonts w:hAnsi="宋体"/>
          <w:sz w:val="28"/>
          <w:szCs w:val="28"/>
        </w:rPr>
        <w:t>6</w:t>
      </w:r>
      <w:r>
        <w:rPr>
          <w:rFonts w:hint="eastAsia" w:hAnsi="宋体"/>
          <w:sz w:val="28"/>
          <w:szCs w:val="28"/>
        </w:rPr>
        <w:t>、按照国家环保排污许可制度管理要求，及时申报排污许可证，纳入排污许可管理。</w:t>
      </w:r>
    </w:p>
    <w:p>
      <w:pPr>
        <w:pStyle w:val="29"/>
        <w:keepNext w:val="0"/>
        <w:keepLines w:val="0"/>
        <w:pageBreakBefore w:val="0"/>
        <w:kinsoku/>
        <w:wordWrap/>
        <w:overflowPunct/>
        <w:topLinePunct w:val="0"/>
        <w:bidi w:val="0"/>
        <w:spacing w:line="360" w:lineRule="auto"/>
        <w:ind w:firstLine="562" w:firstLineChars="200"/>
        <w:jc w:val="both"/>
        <w:textAlignment w:val="auto"/>
        <w:rPr>
          <w:rFonts w:ascii="宋体" w:hAnsi="宋体" w:eastAsia="宋体" w:cs="Times New Roman"/>
          <w:b/>
          <w:bCs/>
          <w:color w:val="auto"/>
          <w:sz w:val="28"/>
          <w:szCs w:val="28"/>
        </w:rPr>
      </w:pPr>
      <w:r>
        <w:rPr>
          <w:rFonts w:hint="eastAsia" w:ascii="宋体" w:hAnsi="宋体" w:eastAsia="宋体" w:cs="Times New Roman"/>
          <w:b/>
          <w:bCs/>
          <w:color w:val="auto"/>
          <w:sz w:val="28"/>
          <w:szCs w:val="28"/>
        </w:rPr>
        <w:t>七、验收人员信息</w:t>
      </w:r>
    </w:p>
    <w:p>
      <w:pPr>
        <w:keepNext w:val="0"/>
        <w:keepLines w:val="0"/>
        <w:pageBreakBefore w:val="0"/>
        <w:widowControl/>
        <w:kinsoku/>
        <w:wordWrap/>
        <w:overflowPunct/>
        <w:topLinePunct w:val="0"/>
        <w:bidi w:val="0"/>
        <w:adjustRightInd w:val="0"/>
        <w:snapToGrid w:val="0"/>
        <w:spacing w:line="360" w:lineRule="auto"/>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验收人员信息见附表</w:t>
      </w:r>
      <w:r>
        <w:rPr>
          <w:rFonts w:hint="eastAsia" w:ascii="宋体" w:hAnsi="宋体" w:eastAsia="宋体"/>
          <w:sz w:val="28"/>
          <w:szCs w:val="28"/>
        </w:rPr>
        <w:t>潍坊金麒麟防水材料有限公司年产1000万平方米防水卷材项目</w:t>
      </w:r>
      <w:r>
        <w:rPr>
          <w:rFonts w:hint="eastAsia" w:ascii="宋体" w:hAnsi="宋体" w:eastAsia="宋体" w:cs="Times New Roman"/>
          <w:sz w:val="28"/>
          <w:szCs w:val="28"/>
        </w:rPr>
        <w:t>验收组成员名单。</w:t>
      </w:r>
    </w:p>
    <w:p>
      <w:pPr>
        <w:keepNext w:val="0"/>
        <w:keepLines w:val="0"/>
        <w:pageBreakBefore w:val="0"/>
        <w:kinsoku/>
        <w:wordWrap/>
        <w:overflowPunct/>
        <w:topLinePunct w:val="0"/>
        <w:bidi w:val="0"/>
        <w:spacing w:line="360" w:lineRule="auto"/>
        <w:ind w:firstLine="3500" w:firstLineChars="1250"/>
        <w:jc w:val="left"/>
        <w:textAlignment w:val="auto"/>
        <w:rPr>
          <w:rFonts w:ascii="宋体" w:hAnsi="宋体" w:eastAsia="宋体"/>
          <w:color w:val="000000"/>
          <w:sz w:val="28"/>
          <w:szCs w:val="28"/>
        </w:rPr>
      </w:pPr>
    </w:p>
    <w:p>
      <w:pPr>
        <w:keepNext w:val="0"/>
        <w:keepLines w:val="0"/>
        <w:pageBreakBefore w:val="0"/>
        <w:kinsoku/>
        <w:wordWrap/>
        <w:overflowPunct/>
        <w:topLinePunct w:val="0"/>
        <w:bidi w:val="0"/>
        <w:spacing w:line="360" w:lineRule="auto"/>
        <w:ind w:left="4224" w:leftChars="1878" w:hanging="280" w:hangingChars="100"/>
        <w:jc w:val="left"/>
        <w:textAlignment w:val="auto"/>
        <w:rPr>
          <w:rFonts w:ascii="宋体" w:hAnsi="宋体" w:eastAsia="宋体"/>
          <w:sz w:val="28"/>
          <w:szCs w:val="28"/>
        </w:rPr>
      </w:pPr>
      <w:r>
        <w:rPr>
          <w:rFonts w:hint="eastAsia" w:ascii="宋体" w:hAnsi="宋体" w:eastAsia="宋体"/>
          <w:sz w:val="28"/>
          <w:szCs w:val="28"/>
        </w:rPr>
        <w:t>潍坊金麒麟防水材料有限公司</w:t>
      </w:r>
    </w:p>
    <w:p>
      <w:pPr>
        <w:keepNext w:val="0"/>
        <w:keepLines w:val="0"/>
        <w:pageBreakBefore w:val="0"/>
        <w:widowControl/>
        <w:kinsoku/>
        <w:wordWrap/>
        <w:overflowPunct/>
        <w:topLinePunct w:val="0"/>
        <w:bidi w:val="0"/>
        <w:adjustRightInd w:val="0"/>
        <w:snapToGrid w:val="0"/>
        <w:spacing w:line="360" w:lineRule="auto"/>
        <w:ind w:firstLine="4760" w:firstLineChars="1700"/>
        <w:textAlignment w:val="auto"/>
        <w:rPr>
          <w:rFonts w:hint="eastAsia" w:ascii="宋体" w:hAnsi="宋体" w:eastAsia="宋体" w:cs="Times New Roman"/>
          <w:sz w:val="28"/>
          <w:szCs w:val="28"/>
        </w:rPr>
      </w:pPr>
      <w:r>
        <w:rPr>
          <w:rFonts w:hint="eastAsia" w:ascii="宋体" w:hAnsi="宋体" w:eastAsia="宋体" w:cs="Times New Roman"/>
          <w:sz w:val="28"/>
          <w:szCs w:val="28"/>
        </w:rPr>
        <w:t>2018年8月2日</w:t>
      </w:r>
    </w:p>
    <w:p>
      <w:pPr>
        <w:pStyle w:val="2"/>
        <w:keepNext w:val="0"/>
        <w:keepLines w:val="0"/>
        <w:pageBreakBefore w:val="0"/>
        <w:kinsoku/>
        <w:wordWrap/>
        <w:overflowPunct/>
        <w:topLinePunct w:val="0"/>
        <w:bidi w:val="0"/>
        <w:spacing w:line="360" w:lineRule="auto"/>
        <w:textAlignment w:val="auto"/>
        <w:rPr>
          <w:rFonts w:hAnsi="宋体"/>
          <w:color w:val="FF0000"/>
          <w:sz w:val="28"/>
          <w:szCs w:val="28"/>
        </w:rPr>
      </w:pPr>
    </w:p>
    <w:p>
      <w:pPr>
        <w:pStyle w:val="2"/>
        <w:keepNext w:val="0"/>
        <w:keepLines w:val="0"/>
        <w:pageBreakBefore w:val="0"/>
        <w:kinsoku/>
        <w:wordWrap/>
        <w:overflowPunct/>
        <w:topLinePunct w:val="0"/>
        <w:bidi w:val="0"/>
        <w:spacing w:line="360" w:lineRule="auto"/>
        <w:ind w:left="360"/>
        <w:textAlignment w:val="auto"/>
        <w:rPr>
          <w:rFonts w:hAnsi="宋体"/>
          <w:color w:val="FF000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0764732"/>
      <w:docPartObj>
        <w:docPartGallery w:val="autotext"/>
      </w:docPartObj>
    </w:sdtPr>
    <w:sdtContent>
      <w:p>
        <w:pPr>
          <w:pStyle w:val="8"/>
          <w:jc w:val="center"/>
        </w:pPr>
        <w:r>
          <w:fldChar w:fldCharType="begin"/>
        </w:r>
        <w:r>
          <w:instrText xml:space="preserve">PAGE   \* MERGEFORMAT</w:instrText>
        </w:r>
        <w:r>
          <w:fldChar w:fldCharType="separate"/>
        </w:r>
        <w:r>
          <w:rPr>
            <w:lang w:val="zh-CN"/>
          </w:rPr>
          <w:t>7</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EB25"/>
    <w:multiLevelType w:val="singleLevel"/>
    <w:tmpl w:val="61E0EB2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5286"/>
    <w:rsid w:val="000002B9"/>
    <w:rsid w:val="00026E2A"/>
    <w:rsid w:val="00044119"/>
    <w:rsid w:val="00053EB3"/>
    <w:rsid w:val="000658AB"/>
    <w:rsid w:val="0008288F"/>
    <w:rsid w:val="0008633C"/>
    <w:rsid w:val="000872AD"/>
    <w:rsid w:val="00092E5D"/>
    <w:rsid w:val="000A7AFC"/>
    <w:rsid w:val="000C1881"/>
    <w:rsid w:val="000E42DA"/>
    <w:rsid w:val="00115794"/>
    <w:rsid w:val="00117FFD"/>
    <w:rsid w:val="0013237A"/>
    <w:rsid w:val="001450C1"/>
    <w:rsid w:val="00145770"/>
    <w:rsid w:val="0015271C"/>
    <w:rsid w:val="001722F3"/>
    <w:rsid w:val="00197FDD"/>
    <w:rsid w:val="001B7EA0"/>
    <w:rsid w:val="001D55E8"/>
    <w:rsid w:val="002064CA"/>
    <w:rsid w:val="0021050C"/>
    <w:rsid w:val="00230AED"/>
    <w:rsid w:val="00230EA1"/>
    <w:rsid w:val="00254FAA"/>
    <w:rsid w:val="002957B9"/>
    <w:rsid w:val="002B250B"/>
    <w:rsid w:val="002B7EA3"/>
    <w:rsid w:val="002F6E95"/>
    <w:rsid w:val="00305049"/>
    <w:rsid w:val="00307F51"/>
    <w:rsid w:val="00313FDC"/>
    <w:rsid w:val="003502BE"/>
    <w:rsid w:val="0036440D"/>
    <w:rsid w:val="00367685"/>
    <w:rsid w:val="003709F8"/>
    <w:rsid w:val="00370EFC"/>
    <w:rsid w:val="0037693C"/>
    <w:rsid w:val="00376B95"/>
    <w:rsid w:val="00387865"/>
    <w:rsid w:val="003A63AF"/>
    <w:rsid w:val="003B2ACC"/>
    <w:rsid w:val="003E32D2"/>
    <w:rsid w:val="003F0415"/>
    <w:rsid w:val="003F6E60"/>
    <w:rsid w:val="00404156"/>
    <w:rsid w:val="004127D0"/>
    <w:rsid w:val="00447386"/>
    <w:rsid w:val="0045460A"/>
    <w:rsid w:val="004746D7"/>
    <w:rsid w:val="0048794D"/>
    <w:rsid w:val="004C6159"/>
    <w:rsid w:val="004E28A7"/>
    <w:rsid w:val="00506E5D"/>
    <w:rsid w:val="00511959"/>
    <w:rsid w:val="005334B2"/>
    <w:rsid w:val="005428C7"/>
    <w:rsid w:val="00572455"/>
    <w:rsid w:val="00580056"/>
    <w:rsid w:val="00582920"/>
    <w:rsid w:val="00587CEC"/>
    <w:rsid w:val="00591460"/>
    <w:rsid w:val="00593F84"/>
    <w:rsid w:val="005B3B66"/>
    <w:rsid w:val="005C1E15"/>
    <w:rsid w:val="005E0CBF"/>
    <w:rsid w:val="005E2A7E"/>
    <w:rsid w:val="005F5A54"/>
    <w:rsid w:val="00617CFC"/>
    <w:rsid w:val="00623F95"/>
    <w:rsid w:val="006260D8"/>
    <w:rsid w:val="00635757"/>
    <w:rsid w:val="0064261E"/>
    <w:rsid w:val="0067225D"/>
    <w:rsid w:val="006855EB"/>
    <w:rsid w:val="00691709"/>
    <w:rsid w:val="0069458F"/>
    <w:rsid w:val="00697ADC"/>
    <w:rsid w:val="006B1699"/>
    <w:rsid w:val="006C2928"/>
    <w:rsid w:val="006D1EF3"/>
    <w:rsid w:val="006E360D"/>
    <w:rsid w:val="006F0BC9"/>
    <w:rsid w:val="006F41A0"/>
    <w:rsid w:val="006F4EFE"/>
    <w:rsid w:val="00705464"/>
    <w:rsid w:val="00725C30"/>
    <w:rsid w:val="00726F36"/>
    <w:rsid w:val="00764E03"/>
    <w:rsid w:val="00775933"/>
    <w:rsid w:val="00782F9E"/>
    <w:rsid w:val="007857C4"/>
    <w:rsid w:val="00795286"/>
    <w:rsid w:val="007B2505"/>
    <w:rsid w:val="007B2917"/>
    <w:rsid w:val="007D6B71"/>
    <w:rsid w:val="007E2593"/>
    <w:rsid w:val="007F5009"/>
    <w:rsid w:val="00811B2F"/>
    <w:rsid w:val="00823652"/>
    <w:rsid w:val="00825A38"/>
    <w:rsid w:val="0089170E"/>
    <w:rsid w:val="008938AD"/>
    <w:rsid w:val="008C6E53"/>
    <w:rsid w:val="008E3F9C"/>
    <w:rsid w:val="0091762C"/>
    <w:rsid w:val="0093498A"/>
    <w:rsid w:val="00940566"/>
    <w:rsid w:val="00947872"/>
    <w:rsid w:val="00950D14"/>
    <w:rsid w:val="00952E35"/>
    <w:rsid w:val="009567F0"/>
    <w:rsid w:val="00956F68"/>
    <w:rsid w:val="00965928"/>
    <w:rsid w:val="009741F8"/>
    <w:rsid w:val="00985E2E"/>
    <w:rsid w:val="009A64FE"/>
    <w:rsid w:val="009C03DD"/>
    <w:rsid w:val="009D3208"/>
    <w:rsid w:val="009E7401"/>
    <w:rsid w:val="009F7E72"/>
    <w:rsid w:val="00A26E42"/>
    <w:rsid w:val="00A31294"/>
    <w:rsid w:val="00A570DF"/>
    <w:rsid w:val="00AA04D3"/>
    <w:rsid w:val="00AA20C0"/>
    <w:rsid w:val="00AA4EAB"/>
    <w:rsid w:val="00AA7DE9"/>
    <w:rsid w:val="00AB2553"/>
    <w:rsid w:val="00AC7E24"/>
    <w:rsid w:val="00AE4700"/>
    <w:rsid w:val="00AF4633"/>
    <w:rsid w:val="00B16A47"/>
    <w:rsid w:val="00B16CF9"/>
    <w:rsid w:val="00B17104"/>
    <w:rsid w:val="00B313F6"/>
    <w:rsid w:val="00B3445F"/>
    <w:rsid w:val="00B63D4D"/>
    <w:rsid w:val="00B67E8A"/>
    <w:rsid w:val="00B7582D"/>
    <w:rsid w:val="00B80B8E"/>
    <w:rsid w:val="00B855E8"/>
    <w:rsid w:val="00B86662"/>
    <w:rsid w:val="00B940D6"/>
    <w:rsid w:val="00B97972"/>
    <w:rsid w:val="00BA0A3D"/>
    <w:rsid w:val="00BA3E62"/>
    <w:rsid w:val="00BF15D8"/>
    <w:rsid w:val="00C02BE9"/>
    <w:rsid w:val="00C02F27"/>
    <w:rsid w:val="00C06392"/>
    <w:rsid w:val="00C163D6"/>
    <w:rsid w:val="00C27CFD"/>
    <w:rsid w:val="00C43BA9"/>
    <w:rsid w:val="00C5549F"/>
    <w:rsid w:val="00C60267"/>
    <w:rsid w:val="00C60894"/>
    <w:rsid w:val="00C61F56"/>
    <w:rsid w:val="00C715A1"/>
    <w:rsid w:val="00C73E8C"/>
    <w:rsid w:val="00C91606"/>
    <w:rsid w:val="00C94D44"/>
    <w:rsid w:val="00CA1B21"/>
    <w:rsid w:val="00CA4C5B"/>
    <w:rsid w:val="00CA5CFE"/>
    <w:rsid w:val="00CC0EB2"/>
    <w:rsid w:val="00CC4BCE"/>
    <w:rsid w:val="00CC6383"/>
    <w:rsid w:val="00CD4748"/>
    <w:rsid w:val="00CE1557"/>
    <w:rsid w:val="00CF47B5"/>
    <w:rsid w:val="00CF5DCA"/>
    <w:rsid w:val="00D1135F"/>
    <w:rsid w:val="00D12D07"/>
    <w:rsid w:val="00D31FEF"/>
    <w:rsid w:val="00D5187F"/>
    <w:rsid w:val="00D60454"/>
    <w:rsid w:val="00D76D69"/>
    <w:rsid w:val="00DA0795"/>
    <w:rsid w:val="00DA080D"/>
    <w:rsid w:val="00DC1E90"/>
    <w:rsid w:val="00DC2B95"/>
    <w:rsid w:val="00DC535F"/>
    <w:rsid w:val="00DD4431"/>
    <w:rsid w:val="00DD6AEF"/>
    <w:rsid w:val="00DE04BC"/>
    <w:rsid w:val="00E00C9D"/>
    <w:rsid w:val="00E03E4B"/>
    <w:rsid w:val="00E06893"/>
    <w:rsid w:val="00E54C28"/>
    <w:rsid w:val="00E81063"/>
    <w:rsid w:val="00E8695D"/>
    <w:rsid w:val="00EB7B7A"/>
    <w:rsid w:val="00EC40A7"/>
    <w:rsid w:val="00EE1690"/>
    <w:rsid w:val="00F05D1D"/>
    <w:rsid w:val="00F10C95"/>
    <w:rsid w:val="00F11D9A"/>
    <w:rsid w:val="00F17822"/>
    <w:rsid w:val="00F35E0D"/>
    <w:rsid w:val="00F4683D"/>
    <w:rsid w:val="00F556C0"/>
    <w:rsid w:val="00F62266"/>
    <w:rsid w:val="00F7254F"/>
    <w:rsid w:val="00F757C4"/>
    <w:rsid w:val="00F965C6"/>
    <w:rsid w:val="00FA463D"/>
    <w:rsid w:val="00FD103D"/>
    <w:rsid w:val="00FD5F81"/>
    <w:rsid w:val="00FF63D9"/>
    <w:rsid w:val="00FF66B7"/>
    <w:rsid w:val="038812A4"/>
    <w:rsid w:val="18304F2E"/>
    <w:rsid w:val="2B843FDB"/>
    <w:rsid w:val="354A2C51"/>
    <w:rsid w:val="35A360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qFormat="1" w:unhideWhenUsed="0" w:uiPriority="0" w:semiHidden="0" w:name="Signature"/>
    <w:lsdException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7"/>
    <w:unhideWhenUsed/>
    <w:qFormat/>
    <w:uiPriority w:val="99"/>
    <w:rPr>
      <w:rFonts w:ascii="宋体" w:hAnsi="Courier New" w:eastAsia="宋体" w:cs="Courier New"/>
      <w:szCs w:val="21"/>
    </w:rPr>
  </w:style>
  <w:style w:type="paragraph" w:styleId="3">
    <w:name w:val="Body Text First Indent"/>
    <w:basedOn w:val="4"/>
    <w:link w:val="23"/>
    <w:semiHidden/>
    <w:unhideWhenUsed/>
    <w:uiPriority w:val="99"/>
    <w:pPr>
      <w:ind w:firstLine="420" w:firstLineChars="100"/>
    </w:pPr>
  </w:style>
  <w:style w:type="paragraph" w:styleId="4">
    <w:name w:val="Body Text"/>
    <w:basedOn w:val="1"/>
    <w:link w:val="22"/>
    <w:semiHidden/>
    <w:unhideWhenUsed/>
    <w:qFormat/>
    <w:uiPriority w:val="99"/>
    <w:pPr>
      <w:spacing w:after="120"/>
    </w:pPr>
  </w:style>
  <w:style w:type="paragraph" w:styleId="5">
    <w:name w:val="Closing"/>
    <w:basedOn w:val="1"/>
    <w:link w:val="24"/>
    <w:qFormat/>
    <w:uiPriority w:val="0"/>
    <w:pPr>
      <w:ind w:left="100" w:leftChars="2100"/>
    </w:pPr>
    <w:rPr>
      <w:szCs w:val="20"/>
    </w:rPr>
  </w:style>
  <w:style w:type="paragraph" w:styleId="6">
    <w:name w:val="Body Text Indent"/>
    <w:basedOn w:val="1"/>
    <w:link w:val="30"/>
    <w:unhideWhenUsed/>
    <w:qFormat/>
    <w:uiPriority w:val="99"/>
    <w:pPr>
      <w:spacing w:after="120"/>
      <w:ind w:left="420" w:leftChars="200"/>
    </w:pPr>
  </w:style>
  <w:style w:type="paragraph" w:styleId="7">
    <w:name w:val="Date"/>
    <w:basedOn w:val="1"/>
    <w:next w:val="1"/>
    <w:link w:val="28"/>
    <w:semiHidden/>
    <w:unhideWhenUsed/>
    <w:qFormat/>
    <w:uiPriority w:val="99"/>
    <w:pPr>
      <w:ind w:left="100" w:leftChars="2500"/>
    </w:p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Body Text First Indent 2"/>
    <w:basedOn w:val="6"/>
    <w:next w:val="1"/>
    <w:link w:val="31"/>
    <w:qFormat/>
    <w:uiPriority w:val="0"/>
    <w:pPr>
      <w:widowControl/>
      <w:adjustRightInd w:val="0"/>
      <w:snapToGrid w:val="0"/>
      <w:ind w:firstLine="420" w:firstLineChars="200"/>
      <w:jc w:val="left"/>
    </w:pPr>
    <w:rPr>
      <w:rFonts w:ascii="Tahoma" w:hAnsi="Tahoma" w:eastAsia="微软雅黑" w:cs="Times New Roman"/>
      <w:kern w:val="0"/>
      <w:sz w:val="24"/>
      <w:szCs w:val="24"/>
    </w:rPr>
  </w:style>
  <w:style w:type="paragraph" w:styleId="10">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11">
    <w:name w:val="Signature"/>
    <w:basedOn w:val="1"/>
    <w:link w:val="26"/>
    <w:qFormat/>
    <w:uiPriority w:val="0"/>
    <w:pPr>
      <w:ind w:left="100" w:leftChars="2100"/>
    </w:pPr>
    <w:rPr>
      <w:szCs w:val="20"/>
    </w:rPr>
  </w:style>
  <w:style w:type="paragraph" w:styleId="12">
    <w:name w:val="Normal (Web)"/>
    <w:basedOn w:val="1"/>
    <w:qFormat/>
    <w:uiPriority w:val="0"/>
    <w:rPr>
      <w:rFonts w:ascii="Times New Roman" w:hAnsi="Times New Roman" w:eastAsia="宋体" w:cs="Times New Roman"/>
      <w:sz w:val="24"/>
      <w:szCs w:val="24"/>
    </w:rPr>
  </w:style>
  <w:style w:type="character" w:styleId="14">
    <w:name w:val="Strong"/>
    <w:qFormat/>
    <w:uiPriority w:val="0"/>
    <w:rPr>
      <w:b/>
    </w:rPr>
  </w:style>
  <w:style w:type="character" w:styleId="15">
    <w:name w:val="annotation reference"/>
    <w:qFormat/>
    <w:uiPriority w:val="0"/>
    <w:rPr>
      <w:sz w:val="21"/>
      <w:szCs w:val="21"/>
    </w:rPr>
  </w:style>
  <w:style w:type="character" w:customStyle="1" w:styleId="17">
    <w:name w:val="纯文本 Char1"/>
    <w:basedOn w:val="13"/>
    <w:link w:val="2"/>
    <w:qFormat/>
    <w:uiPriority w:val="99"/>
    <w:rPr>
      <w:rFonts w:ascii="宋体" w:hAnsi="Courier New" w:eastAsia="宋体" w:cs="Courier New"/>
      <w:szCs w:val="21"/>
    </w:rPr>
  </w:style>
  <w:style w:type="character" w:customStyle="1" w:styleId="18">
    <w:name w:val="页眉 Char"/>
    <w:basedOn w:val="13"/>
    <w:link w:val="10"/>
    <w:uiPriority w:val="99"/>
    <w:rPr>
      <w:sz w:val="18"/>
      <w:szCs w:val="18"/>
    </w:rPr>
  </w:style>
  <w:style w:type="character" w:customStyle="1" w:styleId="19">
    <w:name w:val="页脚 Char"/>
    <w:basedOn w:val="13"/>
    <w:link w:val="8"/>
    <w:uiPriority w:val="99"/>
    <w:rPr>
      <w:sz w:val="18"/>
      <w:szCs w:val="18"/>
    </w:rPr>
  </w:style>
  <w:style w:type="paragraph" w:styleId="20">
    <w:name w:val="List Paragraph"/>
    <w:basedOn w:val="1"/>
    <w:qFormat/>
    <w:uiPriority w:val="34"/>
    <w:pPr>
      <w:ind w:firstLine="420" w:firstLineChars="200"/>
    </w:pPr>
  </w:style>
  <w:style w:type="paragraph" w:customStyle="1" w:styleId="21">
    <w:name w:val="【表格】"/>
    <w:next w:val="3"/>
    <w:qFormat/>
    <w:uiPriority w:val="0"/>
    <w:pPr>
      <w:jc w:val="center"/>
    </w:pPr>
    <w:rPr>
      <w:rFonts w:ascii="Times New Roman" w:hAnsi="Times New Roman" w:eastAsia="宋体" w:cs="Times New Roman"/>
      <w:sz w:val="21"/>
      <w:szCs w:val="24"/>
      <w:lang w:val="en-US" w:eastAsia="zh-CN" w:bidi="ar-SA"/>
    </w:rPr>
  </w:style>
  <w:style w:type="character" w:customStyle="1" w:styleId="22">
    <w:name w:val="正文文本 Char"/>
    <w:basedOn w:val="13"/>
    <w:link w:val="4"/>
    <w:semiHidden/>
    <w:qFormat/>
    <w:uiPriority w:val="99"/>
  </w:style>
  <w:style w:type="character" w:customStyle="1" w:styleId="23">
    <w:name w:val="正文首行缩进 Char"/>
    <w:basedOn w:val="22"/>
    <w:link w:val="3"/>
    <w:semiHidden/>
    <w:uiPriority w:val="99"/>
  </w:style>
  <w:style w:type="character" w:customStyle="1" w:styleId="24">
    <w:name w:val="结束语 Char"/>
    <w:link w:val="5"/>
    <w:uiPriority w:val="0"/>
    <w:rPr>
      <w:kern w:val="2"/>
      <w:sz w:val="21"/>
    </w:rPr>
  </w:style>
  <w:style w:type="character" w:customStyle="1" w:styleId="25">
    <w:name w:val="结束语 Char1"/>
    <w:basedOn w:val="13"/>
    <w:semiHidden/>
    <w:uiPriority w:val="99"/>
    <w:rPr>
      <w:kern w:val="2"/>
      <w:sz w:val="21"/>
      <w:szCs w:val="22"/>
    </w:rPr>
  </w:style>
  <w:style w:type="character" w:customStyle="1" w:styleId="26">
    <w:name w:val="签名 Char"/>
    <w:link w:val="11"/>
    <w:qFormat/>
    <w:uiPriority w:val="0"/>
    <w:rPr>
      <w:kern w:val="2"/>
      <w:sz w:val="21"/>
    </w:rPr>
  </w:style>
  <w:style w:type="character" w:customStyle="1" w:styleId="27">
    <w:name w:val="签名 Char1"/>
    <w:basedOn w:val="13"/>
    <w:semiHidden/>
    <w:qFormat/>
    <w:uiPriority w:val="99"/>
    <w:rPr>
      <w:kern w:val="2"/>
      <w:sz w:val="21"/>
      <w:szCs w:val="22"/>
    </w:rPr>
  </w:style>
  <w:style w:type="character" w:customStyle="1" w:styleId="28">
    <w:name w:val="日期 Char"/>
    <w:basedOn w:val="13"/>
    <w:link w:val="7"/>
    <w:semiHidden/>
    <w:qFormat/>
    <w:uiPriority w:val="99"/>
    <w:rPr>
      <w:kern w:val="2"/>
      <w:sz w:val="21"/>
      <w:szCs w:val="22"/>
    </w:rPr>
  </w:style>
  <w:style w:type="paragraph" w:customStyle="1" w:styleId="29">
    <w:name w:val="Default"/>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 w:type="character" w:customStyle="1" w:styleId="30">
    <w:name w:val="正文文本缩进 Char"/>
    <w:basedOn w:val="13"/>
    <w:link w:val="6"/>
    <w:qFormat/>
    <w:uiPriority w:val="99"/>
    <w:rPr>
      <w:kern w:val="2"/>
      <w:sz w:val="21"/>
      <w:szCs w:val="22"/>
    </w:rPr>
  </w:style>
  <w:style w:type="character" w:customStyle="1" w:styleId="31">
    <w:name w:val="正文首行缩进 2 Char"/>
    <w:basedOn w:val="30"/>
    <w:link w:val="9"/>
    <w:qFormat/>
    <w:uiPriority w:val="0"/>
    <w:rPr>
      <w:rFonts w:ascii="Tahoma" w:hAnsi="Tahoma" w:eastAsia="微软雅黑" w:cs="Times New Roman"/>
      <w:kern w:val="2"/>
      <w:sz w:val="24"/>
      <w:szCs w:val="24"/>
    </w:rPr>
  </w:style>
  <w:style w:type="character" w:customStyle="1" w:styleId="32">
    <w:name w:val="font01"/>
    <w:basedOn w:val="13"/>
    <w:qFormat/>
    <w:uiPriority w:val="0"/>
    <w:rPr>
      <w:rFonts w:hint="default" w:ascii="Times New Roman" w:hAnsi="Times New Roman" w:cs="Times New Roman"/>
      <w:color w:val="000000"/>
      <w:sz w:val="24"/>
      <w:szCs w:val="24"/>
      <w:u w:val="none"/>
      <w:vertAlign w:val="subscript"/>
    </w:rPr>
  </w:style>
  <w:style w:type="paragraph" w:customStyle="1" w:styleId="33">
    <w:name w:val="li_正文"/>
    <w:basedOn w:val="1"/>
    <w:qFormat/>
    <w:uiPriority w:val="0"/>
    <w:pPr>
      <w:widowControl/>
      <w:adjustRightInd w:val="0"/>
      <w:snapToGrid w:val="0"/>
      <w:spacing w:after="200"/>
      <w:ind w:firstLine="200" w:firstLineChars="200"/>
      <w:jc w:val="left"/>
    </w:pPr>
    <w:rPr>
      <w:rFonts w:ascii="Calibri" w:hAnsi="Calibri" w:eastAsia="宋体" w:cs="Times New Roman"/>
      <w:kern w:val="0"/>
      <w:sz w:val="28"/>
      <w:szCs w:val="28"/>
    </w:rPr>
  </w:style>
  <w:style w:type="character" w:customStyle="1" w:styleId="34">
    <w:name w:val="纯文本 Char"/>
    <w:qFormat/>
    <w:uiPriority w:val="99"/>
    <w:rPr>
      <w:rFonts w:ascii="宋体" w:hAnsi="Courier New" w:eastAsia="宋体" w:cs="Courier New"/>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561</Words>
  <Characters>3203</Characters>
  <Lines>26</Lines>
  <Paragraphs>7</Paragraphs>
  <TotalTime>0</TotalTime>
  <ScaleCrop>false</ScaleCrop>
  <LinksUpToDate>false</LinksUpToDate>
  <CharactersWithSpaces>3757</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2018-04-17T07:06:00Z</dcterms:created>
  <dc:creator>lenovo</dc:creator>
  <cp:lastModifiedBy>果汁酸酸</cp:lastModifiedBy>
  <dcterms:modified xsi:type="dcterms:W3CDTF">2018-08-23T08:31:07Z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